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bookmarkStart w:id="1" w:name="_GoBack"/>
      <w:bookmarkEnd w:id="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2" w:name="_Hlk529442918"/>
      <w:bookmarkStart w:id="3"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2"/>
      <w:r w:rsidR="00710156" w:rsidRPr="00710156">
        <w:rPr>
          <w:rFonts w:cs="Times New Roman"/>
          <w:sz w:val="24"/>
          <w:szCs w:val="24"/>
          <w:lang w:eastAsia="ru-RU"/>
        </w:rPr>
        <w:t>,</w:t>
      </w:r>
      <w:bookmarkEnd w:id="3"/>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4"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4"/>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(-ов)</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(-ов)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5" w:name="_Ref489602114"/>
      <w:r w:rsidRPr="00794E72">
        <w:t>Цена работ и порядок расчетов</w:t>
      </w:r>
      <w:r w:rsidR="006D5BD9" w:rsidRPr="00794E72">
        <w:rPr>
          <w:b w:val="0"/>
          <w:vertAlign w:val="superscript"/>
        </w:rPr>
        <w:footnoteReference w:id="5"/>
      </w:r>
      <w:bookmarkEnd w:id="5"/>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6"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6"/>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7"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7"/>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8" w:name="_Ref488762059"/>
      <w:r w:rsidRPr="00794E72">
        <w:rPr>
          <w:b w:val="0"/>
        </w:rPr>
        <w:t>Порядок оплаты:</w:t>
      </w:r>
      <w:bookmarkEnd w:id="8"/>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9"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9"/>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10"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10"/>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6852E8DF" w:rsidR="007266CB" w:rsidRPr="00794E72" w:rsidRDefault="007266CB" w:rsidP="00791D4C">
      <w:pPr>
        <w:pStyle w:val="1"/>
        <w:widowControl w:val="0"/>
        <w:numPr>
          <w:ilvl w:val="1"/>
          <w:numId w:val="7"/>
        </w:numPr>
        <w:spacing w:before="0" w:after="0"/>
        <w:ind w:left="0" w:firstLine="709"/>
        <w:jc w:val="both"/>
        <w:rPr>
          <w:b w:val="0"/>
        </w:rPr>
      </w:pPr>
      <w:bookmarkStart w:id="11" w:name="_Ref488761986"/>
      <w:bookmarkStart w:id="12"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0B1437">
        <w:rPr>
          <w:b w:val="0"/>
        </w:rPr>
        <w:t>14</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1"/>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3"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на 90 (девяносто) календарных дней на сумму незачтенного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3"/>
    </w:p>
    <w:p w14:paraId="095DCE4D" w14:textId="25D56CD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AE6265">
        <w:t>14</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незачтенного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4"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4"/>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2"/>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5"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5"/>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6"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6"/>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7"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7"/>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8" w:name="_Ref489602169"/>
      <w:bookmarkStart w:id="19"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8"/>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9"/>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20"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20"/>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1"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1"/>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2" w:name="_Ref489602067"/>
      <w:bookmarkStart w:id="23"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2"/>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4"/>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5"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5"/>
      <w:bookmarkEnd w:id="23"/>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6" w:name="_Ref490664578"/>
      <w:r w:rsidRPr="00794E72">
        <w:rPr>
          <w:b w:val="0"/>
        </w:rPr>
        <w:t>Передать объект основного средства Заказчика в ремонт по акту сдачи объектов в ремонт.</w:t>
      </w:r>
      <w:bookmarkEnd w:id="26"/>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7"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7"/>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8"/>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9"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9"/>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30"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30"/>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93665391"/>
      <w:r w:rsidRPr="00794E72">
        <w:rPr>
          <w:b w:val="0"/>
        </w:rPr>
        <w:t>Во всякое время проверять ход и качество работ, выполняемых Подрядчиком.</w:t>
      </w:r>
      <w:bookmarkEnd w:id="31"/>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2"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2"/>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3" w:name="_Ref489602022"/>
      <w:r w:rsidRPr="00794E72">
        <w:t>Порядок сдачи и приемки выполненных работ. Качество работ. Распределение рисков между Сторонами</w:t>
      </w:r>
      <w:bookmarkEnd w:id="33"/>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4"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4"/>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5"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5"/>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6"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6"/>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7"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7"/>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8"/>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9"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9"/>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40"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40"/>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не позднее 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1"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1"/>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2"/>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3"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3"/>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неустранения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выполнении работ</w:t>
      </w:r>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4"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4"/>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5"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6"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6"/>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7" w:name="_Ref489602011"/>
      <w:bookmarkEnd w:id="45"/>
      <w:r w:rsidRPr="00794E72">
        <w:t>Ответственность Сторон</w:t>
      </w:r>
      <w:bookmarkEnd w:id="47"/>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8"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8"/>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9" w:name="_Hlk11933509"/>
      <w:r w:rsidRPr="00794E72">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50" w:name="_Hlk11933551"/>
      <w:bookmarkEnd w:id="49"/>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50"/>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1"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1"/>
      <w:r w:rsidR="00E91C2E" w:rsidRPr="00794E72">
        <w:rPr>
          <w:b w:val="0"/>
          <w:vertAlign w:val="superscript"/>
        </w:rPr>
        <w:footnoteReference w:id="13"/>
      </w:r>
      <w:r w:rsidRPr="00794E72">
        <w:rPr>
          <w:b w:val="0"/>
        </w:rPr>
        <w:t>.</w:t>
      </w:r>
    </w:p>
    <w:p w14:paraId="0BEA9C92" w14:textId="77523B2A" w:rsidR="008257B7" w:rsidRPr="00794E72" w:rsidRDefault="008257B7" w:rsidP="00791D4C">
      <w:pPr>
        <w:pStyle w:val="1"/>
        <w:widowControl w:val="0"/>
        <w:numPr>
          <w:ilvl w:val="1"/>
          <w:numId w:val="7"/>
        </w:numPr>
        <w:spacing w:before="0" w:after="0"/>
        <w:ind w:left="0" w:firstLine="709"/>
        <w:jc w:val="both"/>
        <w:rPr>
          <w:b w:val="0"/>
        </w:rPr>
      </w:pPr>
      <w:bookmarkStart w:id="52"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13.2.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2"/>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3"/>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4"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4"/>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5"/>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6"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6"/>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7"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7"/>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272"/>
      <w:r w:rsidRPr="00794E72">
        <w:rPr>
          <w:b w:val="0"/>
        </w:rPr>
        <w:t>Уплата пеней и штрафов не освобождает Подрядчика от выполнения своих обязательств по Договору.</w:t>
      </w:r>
      <w:bookmarkEnd w:id="58"/>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9"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9"/>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60"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60"/>
    </w:p>
    <w:p w14:paraId="32EA757A" w14:textId="6C75F137" w:rsidR="005107CB" w:rsidRPr="005107CB" w:rsidRDefault="005107CB" w:rsidP="005107CB">
      <w:pPr>
        <w:pStyle w:val="afe"/>
        <w:numPr>
          <w:ilvl w:val="1"/>
          <w:numId w:val="7"/>
        </w:numPr>
        <w:ind w:left="0" w:firstLine="709"/>
        <w:rPr>
          <w:sz w:val="24"/>
          <w:szCs w:val="24"/>
        </w:rPr>
      </w:pPr>
      <w:bookmarkStart w:id="61"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ПБиОТ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неоднократных нарушений работниками Подрядчика / субподрядчика требований в области ПБиОТ и/или неустранение Подрядчиком / субподрядчиком в установленные сроки недостатков, выявленных в ходе контроля ПБиОТ на местах ведения работ.</w:t>
      </w:r>
    </w:p>
    <w:bookmarkEnd w:id="61"/>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9260D1F"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AE6265">
        <w:rPr>
          <w:b w:val="0"/>
        </w:rPr>
        <w:t xml:space="preserve">14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AE6265">
      <w:pPr>
        <w:ind w:firstLine="0"/>
        <w:jc w:val="center"/>
        <w:rPr>
          <w:b/>
          <w:sz w:val="24"/>
          <w:szCs w:val="24"/>
        </w:rPr>
      </w:pPr>
      <w:bookmarkStart w:id="62" w:name="_Hlk11685592"/>
      <w:r w:rsidRPr="00B2701F">
        <w:rPr>
          <w:b/>
          <w:sz w:val="24"/>
          <w:szCs w:val="24"/>
        </w:rPr>
        <w:t>12. Антикоррупционная оговорка</w:t>
      </w:r>
    </w:p>
    <w:p w14:paraId="278263B0" w14:textId="77777777" w:rsidR="00AE6265" w:rsidRPr="00B2701F" w:rsidRDefault="00AE6265" w:rsidP="00561D87">
      <w:pPr>
        <w:ind w:firstLine="0"/>
        <w:rPr>
          <w:b/>
          <w:sz w:val="24"/>
          <w:szCs w:val="24"/>
        </w:rPr>
      </w:pPr>
    </w:p>
    <w:p w14:paraId="5037120E" w14:textId="77777777" w:rsidR="00AE6265" w:rsidRPr="00B2701F" w:rsidRDefault="00AE6265" w:rsidP="00AE6265">
      <w:pPr>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3" w:name="_Hlk11684862"/>
      <w:r w:rsidRPr="00B2701F">
        <w:rPr>
          <w:sz w:val="24"/>
          <w:szCs w:val="24"/>
        </w:rPr>
        <w:t>по электронному адресу:</w:t>
      </w:r>
      <w:bookmarkEnd w:id="63"/>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77777777" w:rsidR="00AE6265" w:rsidRPr="00B2701F" w:rsidRDefault="00AE6265" w:rsidP="00AE6265">
      <w:pPr>
        <w:rPr>
          <w:sz w:val="24"/>
          <w:szCs w:val="24"/>
        </w:rPr>
      </w:pPr>
      <w:r w:rsidRPr="00B2701F">
        <w:rPr>
          <w:sz w:val="24"/>
          <w:szCs w:val="24"/>
        </w:rPr>
        <w:t>- Заместителю Генерального директора по безопасности по электронному адресу: nahmurov@bobrovylog.ru.</w:t>
      </w:r>
    </w:p>
    <w:p w14:paraId="27E39315" w14:textId="6B695F92"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2"/>
    </w:p>
    <w:p w14:paraId="355A983D" w14:textId="77777777" w:rsidR="00561D87" w:rsidRDefault="00561D87" w:rsidP="00561D87">
      <w:pPr>
        <w:spacing w:before="120"/>
        <w:ind w:firstLine="0"/>
        <w:jc w:val="center"/>
        <w:rPr>
          <w:b/>
          <w:bCs/>
          <w:noProof/>
          <w:sz w:val="24"/>
          <w:szCs w:val="24"/>
        </w:rPr>
      </w:pPr>
      <w:r>
        <w:rPr>
          <w:b/>
          <w:bCs/>
          <w:noProof/>
          <w:sz w:val="24"/>
          <w:szCs w:val="24"/>
        </w:rPr>
        <w:t>13. Прочие условия.</w:t>
      </w:r>
    </w:p>
    <w:p w14:paraId="6F8F37B8" w14:textId="77777777" w:rsidR="00561D87" w:rsidRPr="00EA3FC7" w:rsidRDefault="00561D87" w:rsidP="00561D87">
      <w:pPr>
        <w:tabs>
          <w:tab w:val="left" w:pos="1134"/>
        </w:tabs>
        <w:spacing w:before="120"/>
        <w:rPr>
          <w:bCs/>
          <w:noProof/>
          <w:sz w:val="24"/>
          <w:szCs w:val="24"/>
        </w:rPr>
      </w:pPr>
      <w:r w:rsidRPr="00640716">
        <w:rPr>
          <w:bCs/>
          <w:noProof/>
          <w:sz w:val="24"/>
          <w:szCs w:val="24"/>
        </w:rPr>
        <w:t>1</w:t>
      </w:r>
      <w:r>
        <w:rPr>
          <w:bCs/>
          <w:noProof/>
          <w:sz w:val="24"/>
          <w:szCs w:val="24"/>
        </w:rPr>
        <w:t>3</w:t>
      </w:r>
      <w:r w:rsidRPr="00640716">
        <w:rPr>
          <w:bCs/>
          <w:noProof/>
          <w:sz w:val="24"/>
          <w:szCs w:val="24"/>
        </w:rPr>
        <w:t>.1.</w:t>
      </w:r>
      <w:r w:rsidRPr="00640716">
        <w:rPr>
          <w:bCs/>
          <w:noProof/>
          <w:sz w:val="24"/>
          <w:szCs w:val="24"/>
        </w:rPr>
        <w:tab/>
      </w:r>
      <w:bookmarkStart w:id="64"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 .</w:t>
      </w:r>
    </w:p>
    <w:p w14:paraId="64598CB2" w14:textId="77777777"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5C81587F" w:rsidR="008C3372"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.3.</w:t>
      </w:r>
      <w:r w:rsidRPr="00EA3FC7">
        <w:rPr>
          <w:bCs/>
          <w:noProof/>
          <w:sz w:val="24"/>
          <w:szCs w:val="24"/>
        </w:rPr>
        <w:tab/>
      </w:r>
      <w:bookmarkStart w:id="65"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5"/>
      <w:r w:rsidRPr="00EA3FC7">
        <w:rPr>
          <w:bCs/>
          <w:noProof/>
          <w:sz w:val="24"/>
          <w:szCs w:val="24"/>
        </w:rPr>
        <w:t xml:space="preserve"> </w:t>
      </w:r>
    </w:p>
    <w:p w14:paraId="5A77766F" w14:textId="311A306B" w:rsidR="00561D87" w:rsidRPr="00EA3FC7" w:rsidRDefault="008C3372" w:rsidP="00561D87">
      <w:pPr>
        <w:tabs>
          <w:tab w:val="left" w:pos="1134"/>
        </w:tabs>
        <w:spacing w:before="120"/>
        <w:rPr>
          <w:bCs/>
          <w:noProof/>
          <w:sz w:val="24"/>
          <w:szCs w:val="24"/>
        </w:rPr>
      </w:pPr>
      <w:r>
        <w:rPr>
          <w:bCs/>
          <w:noProof/>
          <w:sz w:val="24"/>
          <w:szCs w:val="24"/>
        </w:rPr>
        <w:t xml:space="preserve">13.4.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561D87">
      <w:pPr>
        <w:tabs>
          <w:tab w:val="left" w:pos="1134"/>
        </w:tabs>
        <w:spacing w:before="120"/>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05FF6FF"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7E4FD802" w:rsidR="00561D87" w:rsidRPr="00640716"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2D70477D" w:rsidR="005259E4" w:rsidRPr="00561D87" w:rsidRDefault="00561D87" w:rsidP="00561D87">
      <w:pPr>
        <w:pStyle w:val="1"/>
        <w:widowControl w:val="0"/>
        <w:numPr>
          <w:ilvl w:val="0"/>
          <w:numId w:val="0"/>
        </w:numPr>
        <w:tabs>
          <w:tab w:val="left" w:pos="1276"/>
        </w:tabs>
        <w:spacing w:before="0" w:after="0"/>
        <w:ind w:firstLine="709"/>
        <w:jc w:val="both"/>
        <w:rPr>
          <w:b w:val="0"/>
          <w:bCs w:val="0"/>
        </w:rPr>
      </w:pPr>
      <w:r w:rsidRPr="00561D87">
        <w:rPr>
          <w:b w:val="0"/>
          <w:bCs w:val="0"/>
          <w:noProof/>
        </w:rPr>
        <w:t>13.</w:t>
      </w:r>
      <w:r w:rsidR="008C3372">
        <w:rPr>
          <w:b w:val="0"/>
          <w:bCs w:val="0"/>
          <w:noProof/>
        </w:rPr>
        <w:t>7</w:t>
      </w:r>
      <w:r w:rsidRPr="00561D87">
        <w:rPr>
          <w:b w:val="0"/>
          <w:bCs w:val="0"/>
          <w:noProof/>
        </w:rPr>
        <w:t>.</w:t>
      </w:r>
      <w:r w:rsidRPr="00561D87">
        <w:rPr>
          <w:b w:val="0"/>
          <w:bCs w:val="0"/>
          <w:noProof/>
        </w:rPr>
        <w:tab/>
        <w:t>Неотъемлемой частью настоящего Договора являются следующие приложения:</w:t>
      </w:r>
      <w:bookmarkEnd w:id="64"/>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6" w:name="_Toc3272181"/>
      <w:r w:rsidRPr="005107CB">
        <w:rPr>
          <w:rFonts w:eastAsia="Calibri" w:cs="Times New Roman"/>
          <w:iCs/>
          <w:sz w:val="24"/>
          <w:szCs w:val="24"/>
          <w:lang w:eastAsia="ru-RU"/>
        </w:rPr>
        <w:t>Ответственность за неисполнение и/или ненадлежащее исполнение требований в области ПБиОТ</w:t>
      </w:r>
      <w:bookmarkEnd w:id="66"/>
      <w:r>
        <w:rPr>
          <w:rFonts w:eastAsia="Calibri" w:cs="Times New Roman"/>
          <w:iCs/>
          <w:sz w:val="24"/>
          <w:szCs w:val="24"/>
          <w:lang w:eastAsia="ru-RU"/>
        </w:rPr>
        <w:t>.</w:t>
      </w:r>
    </w:p>
    <w:p w14:paraId="1E6C03D6" w14:textId="77777777" w:rsidR="005259E4" w:rsidRPr="00794E72" w:rsidRDefault="005259E4" w:rsidP="00F553AB">
      <w:pPr>
        <w:pStyle w:val="1"/>
        <w:numPr>
          <w:ilvl w:val="0"/>
          <w:numId w:val="46"/>
        </w:numPr>
      </w:pPr>
      <w:bookmarkStart w:id="67" w:name="_Ref489602654"/>
      <w:r w:rsidRPr="00794E72">
        <w:t>Адреса и банковские реквизиты Сторон.</w:t>
      </w:r>
      <w:bookmarkEnd w:id="67"/>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 xml:space="preserve">г. _________,ул.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пп</w:t>
            </w:r>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68" w:name="_Hlk529443744"/>
      <w:r w:rsidRPr="00710156">
        <w:rPr>
          <w:rFonts w:cs="Times New Roman"/>
          <w:b/>
          <w:sz w:val="20"/>
          <w:lang w:eastAsia="ru-RU"/>
        </w:rPr>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68"/>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пп</w:t>
            </w:r>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Должность уполномоченного лица ГАРАНТА             ________________               (Ф.И.О.)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Главный бухгалтер                                                            ________________               (Ф.И.О.)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Чр</w:t>
            </w:r>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Чнс</w:t>
            </w:r>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Чсм</w:t>
            </w:r>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Чутр</w:t>
            </w:r>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Чтяж</w:t>
            </w:r>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Чпер</w:t>
            </w:r>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Чмтр</w:t>
            </w:r>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Чомп</w:t>
            </w:r>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w:t>
            </w:r>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Кч</w:t>
            </w:r>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Кт</w:t>
            </w:r>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639D0DD1" w:rsidR="005107CB" w:rsidRDefault="005107CB"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0B1437" w:rsidRDefault="000B1437">
      <w:r>
        <w:separator/>
      </w:r>
    </w:p>
  </w:endnote>
  <w:endnote w:type="continuationSeparator" w:id="0">
    <w:p w14:paraId="4DB6BC4A" w14:textId="77777777" w:rsidR="000B1437" w:rsidRDefault="000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EndPr/>
    <w:sdtContent>
      <w:p w14:paraId="7216CE2A" w14:textId="77777777" w:rsidR="000B1437" w:rsidRDefault="000B1437">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0B1437" w:rsidRDefault="000B1437">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0B1437" w:rsidRDefault="000B1437">
    <w:pPr>
      <w:pStyle w:val="aff1"/>
      <w:jc w:val="right"/>
    </w:pPr>
  </w:p>
  <w:p w14:paraId="2B34BFF8" w14:textId="77777777" w:rsidR="000B1437" w:rsidRDefault="000B1437">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0B1437" w:rsidRDefault="000B1437">
      <w:r>
        <w:separator/>
      </w:r>
    </w:p>
  </w:footnote>
  <w:footnote w:type="continuationSeparator" w:id="0">
    <w:p w14:paraId="42878E91" w14:textId="77777777" w:rsidR="000B1437" w:rsidRDefault="000B1437">
      <w:r>
        <w:continuationSeparator/>
      </w:r>
    </w:p>
  </w:footnote>
  <w:footnote w:id="1">
    <w:p w14:paraId="29F64146" w14:textId="77777777" w:rsidR="000B1437" w:rsidRPr="00A87BE1" w:rsidRDefault="000B1437"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0B1437" w:rsidRDefault="000B1437">
      <w:pPr>
        <w:pStyle w:val="af8"/>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0B1437" w:rsidRDefault="000B1437">
      <w:pPr>
        <w:pStyle w:val="af8"/>
      </w:pPr>
      <w:r>
        <w:rPr>
          <w:rStyle w:val="ab"/>
        </w:rPr>
        <w:footnoteRef/>
      </w:r>
      <w:r>
        <w:t xml:space="preserve"> Указывается в случае если Договор заключается по итогам закупки.</w:t>
      </w:r>
    </w:p>
  </w:footnote>
  <w:footnote w:id="4">
    <w:p w14:paraId="35D021BD" w14:textId="77777777" w:rsidR="000B1437" w:rsidRDefault="000B1437"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0B1437" w:rsidRDefault="000B1437">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0B1437" w:rsidRDefault="000B1437">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0B1437" w:rsidRDefault="000B1437">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0B1437" w:rsidRDefault="000B1437" w:rsidP="00DB445A">
      <w:pPr>
        <w:pStyle w:val="af8"/>
      </w:pPr>
      <w:r>
        <w:rPr>
          <w:rStyle w:val="ab"/>
        </w:rPr>
        <w:footnoteRef/>
      </w:r>
      <w:r>
        <w:t xml:space="preserve"> Указывается при необходимости. </w:t>
      </w:r>
    </w:p>
  </w:footnote>
  <w:footnote w:id="9">
    <w:p w14:paraId="03B17AEC" w14:textId="77777777" w:rsidR="000B1437" w:rsidRDefault="000B1437"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0B1437" w:rsidRDefault="000B1437"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C6097B" w:rsidRPr="00640EA7" w:rsidRDefault="00C6097B"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0B1437" w:rsidRDefault="000B1437"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0B1437" w:rsidRDefault="000B1437">
      <w:pPr>
        <w:pStyle w:val="af8"/>
      </w:pPr>
      <w:r>
        <w:rPr>
          <w:rStyle w:val="ab"/>
        </w:rPr>
        <w:footnoteRef/>
      </w:r>
      <w:r>
        <w:t xml:space="preserve"> Включается при необходимости. </w:t>
      </w:r>
    </w:p>
  </w:footnote>
  <w:footnote w:id="14">
    <w:p w14:paraId="548FC4E8" w14:textId="77777777" w:rsidR="000B1437" w:rsidRDefault="000B1437"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0B1437" w:rsidRDefault="000B1437">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0B1437" w:rsidRDefault="000B1437"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0B1437" w:rsidRPr="00375E4B" w:rsidRDefault="000B1437"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0B1437" w:rsidRPr="00375E4B" w:rsidRDefault="000B1437"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0B1437" w:rsidRDefault="000B1437"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3"/>
  </w:num>
  <w:num w:numId="5">
    <w:abstractNumId w:val="10"/>
  </w:num>
  <w:num w:numId="6">
    <w:abstractNumId w:val="15"/>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4"/>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1"/>
  </w:num>
  <w:num w:numId="42">
    <w:abstractNumId w:val="7"/>
  </w:num>
  <w:num w:numId="43">
    <w:abstractNumId w:val="7"/>
  </w:num>
  <w:num w:numId="44">
    <w:abstractNumId w:val="7"/>
  </w:num>
  <w:num w:numId="45">
    <w:abstractNumId w:val="8"/>
  </w:num>
  <w:num w:numId="46">
    <w:abstractNumId w:val="9"/>
  </w:num>
  <w:num w:numId="4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C78EE"/>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01BF-296D-43DC-BA41-BB353DCF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13190</Words>
  <Characters>75187</Characters>
  <Application>Microsoft Office Word</Application>
  <DocSecurity>4</DocSecurity>
  <Lines>626</Lines>
  <Paragraphs>176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Гомер Татьяна Олеговна</cp:lastModifiedBy>
  <cp:revision>2</cp:revision>
  <cp:lastPrinted>2019-06-20T04:07:00Z</cp:lastPrinted>
  <dcterms:created xsi:type="dcterms:W3CDTF">2019-10-01T06:48:00Z</dcterms:created>
  <dcterms:modified xsi:type="dcterms:W3CDTF">2019-10-01T06:48:00Z</dcterms:modified>
</cp:coreProperties>
</file>