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C31" w:rsidRPr="004063F4" w:rsidRDefault="0079000B" w:rsidP="0079000B">
      <w:pPr>
        <w:pageBreakBefore/>
        <w:tabs>
          <w:tab w:val="left" w:pos="10206"/>
          <w:tab w:val="left" w:pos="10348"/>
        </w:tabs>
        <w:jc w:val="center"/>
        <w:outlineLvl w:val="0"/>
        <w:rPr>
          <w:rFonts w:ascii="Tahoma" w:hAnsi="Tahoma" w:cs="Tahoma"/>
          <w:b/>
          <w:bCs/>
          <w:szCs w:val="24"/>
        </w:rPr>
      </w:pPr>
      <w:bookmarkStart w:id="0" w:name="_Toc460668635"/>
      <w:bookmarkStart w:id="1" w:name="_Toc461797119"/>
      <w:bookmarkStart w:id="2" w:name="_Toc462482199"/>
      <w:r>
        <w:rPr>
          <w:rFonts w:ascii="Tahoma" w:hAnsi="Tahoma" w:cs="Tahoma"/>
          <w:sz w:val="20"/>
        </w:rPr>
        <w:t xml:space="preserve">                                                                                   </w:t>
      </w:r>
      <w:r w:rsidR="0090027E">
        <w:rPr>
          <w:rFonts w:ascii="Tahoma" w:hAnsi="Tahoma" w:cs="Tahoma"/>
          <w:sz w:val="20"/>
        </w:rPr>
        <w:t xml:space="preserve">           </w:t>
      </w:r>
      <w:r>
        <w:rPr>
          <w:rFonts w:ascii="Tahoma" w:hAnsi="Tahoma" w:cs="Tahoma"/>
          <w:sz w:val="20"/>
        </w:rPr>
        <w:t xml:space="preserve">  </w:t>
      </w:r>
      <w:r w:rsidR="0090027E">
        <w:rPr>
          <w:rFonts w:ascii="Tahoma" w:hAnsi="Tahoma" w:cs="Tahoma"/>
          <w:sz w:val="20"/>
        </w:rPr>
        <w:t xml:space="preserve">Приложение </w:t>
      </w:r>
      <w:r w:rsidR="00801373" w:rsidRPr="00801373">
        <w:rPr>
          <w:rFonts w:ascii="Tahoma" w:hAnsi="Tahoma" w:cs="Tahoma"/>
          <w:sz w:val="20"/>
        </w:rPr>
        <w:t xml:space="preserve">к Техническому заданию </w:t>
      </w:r>
      <w:r w:rsidR="00DD0C31" w:rsidRPr="005C2762">
        <w:rPr>
          <w:rFonts w:ascii="Tahoma" w:hAnsi="Tahoma" w:cs="Tahoma"/>
          <w:b/>
          <w:szCs w:val="24"/>
        </w:rPr>
        <w:br/>
      </w:r>
      <w:r w:rsidR="00DD0C31" w:rsidRPr="004063F4">
        <w:rPr>
          <w:rFonts w:ascii="Tahoma" w:hAnsi="Tahoma" w:cs="Tahoma"/>
          <w:bCs/>
          <w:szCs w:val="24"/>
        </w:rPr>
        <w:t xml:space="preserve">Требования к составлению сметной документации </w:t>
      </w:r>
      <w:r w:rsidR="00DD0C31" w:rsidRPr="004063F4">
        <w:rPr>
          <w:rFonts w:ascii="Tahoma" w:hAnsi="Tahoma" w:cs="Tahoma"/>
          <w:bCs/>
          <w:szCs w:val="24"/>
        </w:rPr>
        <w:br/>
      </w:r>
      <w:bookmarkEnd w:id="0"/>
      <w:bookmarkEnd w:id="1"/>
      <w:bookmarkEnd w:id="2"/>
    </w:p>
    <w:tbl>
      <w:tblPr>
        <w:tblW w:w="10148"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177"/>
        <w:gridCol w:w="798"/>
        <w:gridCol w:w="2275"/>
        <w:gridCol w:w="6898"/>
      </w:tblGrid>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 xml:space="preserve">N </w:t>
            </w:r>
            <w:proofErr w:type="gramStart"/>
            <w:r w:rsidRPr="002F46B6">
              <w:rPr>
                <w:rFonts w:ascii="Tahoma" w:hAnsi="Tahoma" w:cs="Tahoma"/>
                <w:sz w:val="20"/>
              </w:rPr>
              <w:t>п</w:t>
            </w:r>
            <w:proofErr w:type="gramEnd"/>
            <w:r w:rsidRPr="002F46B6">
              <w:rPr>
                <w:rFonts w:ascii="Tahoma" w:hAnsi="Tahoma" w:cs="Tahoma"/>
                <w:sz w:val="20"/>
              </w:rPr>
              <w:t xml:space="preserve">/п </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 xml:space="preserve">Наименование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 xml:space="preserve">Показатели </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Сметн</w:t>
            </w:r>
            <w:proofErr w:type="gramStart"/>
            <w:r w:rsidRPr="002F46B6">
              <w:rPr>
                <w:rFonts w:ascii="Tahoma" w:hAnsi="Tahoma" w:cs="Tahoma"/>
                <w:sz w:val="20"/>
              </w:rPr>
              <w:t>о-</w:t>
            </w:r>
            <w:proofErr w:type="gramEnd"/>
            <w:r w:rsidRPr="002F46B6">
              <w:rPr>
                <w:rFonts w:ascii="Tahoma" w:hAnsi="Tahoma" w:cs="Tahoma"/>
                <w:sz w:val="20"/>
              </w:rPr>
              <w:br/>
              <w:t xml:space="preserve">нормативная база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DD0C31">
            <w:pPr>
              <w:tabs>
                <w:tab w:val="left" w:pos="10206"/>
                <w:tab w:val="left" w:pos="10348"/>
              </w:tabs>
              <w:spacing w:line="276" w:lineRule="auto"/>
              <w:jc w:val="left"/>
              <w:rPr>
                <w:rFonts w:ascii="Tahoma" w:hAnsi="Tahoma" w:cs="Tahoma"/>
                <w:sz w:val="20"/>
              </w:rPr>
            </w:pPr>
            <w:r w:rsidRPr="002F46B6">
              <w:rPr>
                <w:rFonts w:ascii="Tahoma" w:hAnsi="Tahoma" w:cs="Tahoma"/>
                <w:sz w:val="20"/>
              </w:rPr>
              <w:t xml:space="preserve">- </w:t>
            </w:r>
            <w:proofErr w:type="gramStart"/>
            <w:r w:rsidRPr="002F46B6">
              <w:rPr>
                <w:rFonts w:ascii="Tahoma" w:hAnsi="Tahoma" w:cs="Tahoma"/>
                <w:sz w:val="20"/>
              </w:rPr>
              <w:t>Территориальная</w:t>
            </w:r>
            <w:proofErr w:type="gramEnd"/>
            <w:r w:rsidRPr="002F46B6">
              <w:rPr>
                <w:rFonts w:ascii="Tahoma" w:hAnsi="Tahoma" w:cs="Tahoma"/>
                <w:sz w:val="20"/>
              </w:rPr>
              <w:t xml:space="preserve"> (ТСНБ-2001) </w:t>
            </w:r>
            <w:r w:rsidRPr="002F46B6">
              <w:rPr>
                <w:rFonts w:ascii="Tahoma" w:hAnsi="Tahoma" w:cs="Tahoma"/>
                <w:i/>
                <w:sz w:val="20"/>
              </w:rPr>
              <w:t xml:space="preserve">Красноярского края </w:t>
            </w:r>
            <w:r w:rsidRPr="002F46B6">
              <w:rPr>
                <w:rFonts w:ascii="Tahoma" w:hAnsi="Tahoma" w:cs="Tahoma"/>
                <w:sz w:val="20"/>
              </w:rPr>
              <w:t xml:space="preserve">    Составление сметной документации осуществлять с использованием ПО «Гранд-Смета»</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2.</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Уровень цен, в котором составляется сметная документация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721E63">
            <w:pPr>
              <w:tabs>
                <w:tab w:val="left" w:pos="10206"/>
                <w:tab w:val="left" w:pos="10348"/>
              </w:tabs>
              <w:spacing w:before="100" w:beforeAutospacing="1" w:after="100" w:afterAutospacing="1" w:line="276" w:lineRule="auto"/>
              <w:jc w:val="left"/>
              <w:rPr>
                <w:rFonts w:ascii="Tahoma" w:hAnsi="Tahoma" w:cs="Tahoma"/>
                <w:sz w:val="20"/>
              </w:rPr>
            </w:pPr>
            <w:r w:rsidRPr="002F46B6">
              <w:rPr>
                <w:rFonts w:ascii="Tahoma" w:hAnsi="Tahoma" w:cs="Tahoma"/>
                <w:sz w:val="20"/>
              </w:rPr>
              <w:br/>
            </w:r>
            <w:r>
              <w:rPr>
                <w:rFonts w:ascii="Tahoma" w:hAnsi="Tahoma" w:cs="Tahoma"/>
                <w:sz w:val="20"/>
              </w:rPr>
              <w:t>1. Текущий уровень цен (н</w:t>
            </w:r>
            <w:r w:rsidRPr="002F46B6">
              <w:rPr>
                <w:rFonts w:ascii="Tahoma" w:hAnsi="Tahoma" w:cs="Tahoma"/>
                <w:sz w:val="20"/>
              </w:rPr>
              <w:t>а момент составления сметной док</w:t>
            </w:r>
            <w:bookmarkStart w:id="3" w:name="_GoBack"/>
            <w:bookmarkEnd w:id="3"/>
            <w:r w:rsidRPr="002F46B6">
              <w:rPr>
                <w:rFonts w:ascii="Tahoma" w:hAnsi="Tahoma" w:cs="Tahoma"/>
                <w:sz w:val="20"/>
              </w:rPr>
              <w:t>ументации</w:t>
            </w:r>
            <w:r>
              <w:rPr>
                <w:rFonts w:ascii="Tahoma" w:hAnsi="Tahoma" w:cs="Tahoma"/>
                <w:sz w:val="20"/>
              </w:rPr>
              <w:t>).</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3.</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left"/>
              <w:rPr>
                <w:rFonts w:ascii="Tahoma" w:hAnsi="Tahoma" w:cs="Tahoma"/>
                <w:sz w:val="20"/>
                <w:highlight w:val="yellow"/>
              </w:rPr>
            </w:pPr>
            <w:r w:rsidRPr="002F46B6">
              <w:rPr>
                <w:rFonts w:ascii="Tahoma" w:hAnsi="Tahoma" w:cs="Tahoma"/>
                <w:sz w:val="20"/>
              </w:rPr>
              <w:t xml:space="preserve">Метод пересчета в текущий уровень цен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line="276" w:lineRule="auto"/>
              <w:jc w:val="left"/>
              <w:rPr>
                <w:rFonts w:ascii="Tahoma" w:hAnsi="Tahoma" w:cs="Tahoma"/>
                <w:sz w:val="20"/>
              </w:rPr>
            </w:pPr>
            <w:r w:rsidRPr="002F46B6">
              <w:rPr>
                <w:rFonts w:ascii="Tahoma" w:hAnsi="Tahoma" w:cs="Tahoma"/>
                <w:sz w:val="20"/>
              </w:rPr>
              <w:t xml:space="preserve">Базисно-индексный метод с применением индексов пересчета сметной стоимости строительно-монтажных работ и оборудования из базисного в текущий уровень цен, </w:t>
            </w:r>
            <w:r w:rsidRPr="002F46B6">
              <w:rPr>
                <w:rFonts w:ascii="Tahoma" w:hAnsi="Tahoma" w:cs="Tahoma"/>
                <w:i/>
                <w:sz w:val="20"/>
              </w:rPr>
              <w:t>утвержденных в установленном порядке на соответствующую дату/квартал</w:t>
            </w:r>
            <w:r w:rsidRPr="002F46B6">
              <w:rPr>
                <w:rFonts w:ascii="Tahoma" w:hAnsi="Tahoma" w:cs="Tahoma"/>
                <w:sz w:val="20"/>
              </w:rPr>
              <w:t>:</w:t>
            </w:r>
            <w:r w:rsidRPr="002F46B6">
              <w:rPr>
                <w:rFonts w:ascii="Tahoma" w:hAnsi="Tahoma" w:cs="Tahoma"/>
                <w:sz w:val="20"/>
              </w:rPr>
              <w:br/>
              <w:t xml:space="preserve">1. Строительно-монтажных работ (СМР) и пусконаладочных работ (ПНР) - </w:t>
            </w:r>
            <w:r w:rsidRPr="002F46B6">
              <w:rPr>
                <w:rFonts w:ascii="Tahoma" w:hAnsi="Tahoma" w:cs="Tahoma"/>
                <w:i/>
                <w:sz w:val="20"/>
              </w:rPr>
              <w:t>по статьям затрат (материалам, оплате труда, эксплуатации машин и механизмов</w:t>
            </w:r>
            <w:r w:rsidRPr="002F46B6">
              <w:rPr>
                <w:rFonts w:ascii="Tahoma" w:hAnsi="Tahoma" w:cs="Tahoma"/>
                <w:sz w:val="20"/>
              </w:rPr>
              <w:t>).</w:t>
            </w:r>
          </w:p>
          <w:p w:rsidR="0090027E" w:rsidRPr="002F46B6" w:rsidRDefault="0090027E" w:rsidP="004A59EF">
            <w:pPr>
              <w:pStyle w:val="FORMATTEXT"/>
              <w:tabs>
                <w:tab w:val="left" w:pos="1418"/>
                <w:tab w:val="left" w:pos="1560"/>
                <w:tab w:val="left" w:pos="10206"/>
                <w:tab w:val="left" w:pos="10348"/>
              </w:tabs>
              <w:spacing w:line="276" w:lineRule="auto"/>
              <w:jc w:val="both"/>
              <w:rPr>
                <w:rFonts w:ascii="Tahoma" w:hAnsi="Tahoma" w:cs="Tahoma"/>
                <w:sz w:val="20"/>
                <w:szCs w:val="20"/>
              </w:rPr>
            </w:pPr>
            <w:r w:rsidRPr="002F46B6">
              <w:rPr>
                <w:rFonts w:ascii="Tahoma" w:hAnsi="Tahoma" w:cs="Tahoma"/>
                <w:sz w:val="20"/>
                <w:szCs w:val="20"/>
              </w:rPr>
              <w:t xml:space="preserve">     Стоимость материальных ресурсов, отсутствующих в </w:t>
            </w:r>
            <w:r w:rsidRPr="002F46B6">
              <w:rPr>
                <w:rFonts w:ascii="Tahoma" w:hAnsi="Tahoma" w:cs="Tahoma"/>
                <w:i/>
                <w:sz w:val="20"/>
                <w:szCs w:val="20"/>
              </w:rPr>
              <w:t>ФССЦ/ТССЦ-</w:t>
            </w:r>
            <w:r w:rsidRPr="002F46B6">
              <w:rPr>
                <w:rFonts w:ascii="Tahoma" w:hAnsi="Tahoma" w:cs="Tahoma"/>
                <w:sz w:val="20"/>
                <w:szCs w:val="20"/>
              </w:rPr>
              <w:t>2001, и определяемая по фактической текущей сметной стоимости (с учётом транспортных и заготовительно-складских расходов) в базисный уровень цен переводится индексом на материалы. Пересчет в текущий уровень цен базисной стоимости материальных ресурсов, определенной указанным способом, осуществляется с применением того же индекса.</w:t>
            </w:r>
          </w:p>
          <w:p w:rsidR="0090027E" w:rsidRPr="002F46B6" w:rsidRDefault="0090027E" w:rsidP="004A59EF">
            <w:pPr>
              <w:tabs>
                <w:tab w:val="left" w:pos="10206"/>
                <w:tab w:val="left" w:pos="10348"/>
              </w:tabs>
              <w:spacing w:line="276" w:lineRule="auto"/>
              <w:jc w:val="left"/>
              <w:rPr>
                <w:rFonts w:ascii="Tahoma" w:hAnsi="Tahoma" w:cs="Tahoma"/>
                <w:sz w:val="20"/>
              </w:rPr>
            </w:pPr>
            <w:r w:rsidRPr="002F46B6">
              <w:rPr>
                <w:rFonts w:ascii="Tahoma" w:hAnsi="Tahoma" w:cs="Tahoma"/>
                <w:sz w:val="20"/>
              </w:rPr>
              <w:t>2. Оборудование – в текущих ценах. Сметная стоимость оборудования определяется по ценам франко-</w:t>
            </w:r>
            <w:proofErr w:type="spellStart"/>
            <w:r w:rsidRPr="002F46B6">
              <w:rPr>
                <w:rFonts w:ascii="Tahoma" w:hAnsi="Tahoma" w:cs="Tahoma"/>
                <w:sz w:val="20"/>
              </w:rPr>
              <w:t>приобъектный</w:t>
            </w:r>
            <w:proofErr w:type="spellEnd"/>
            <w:r w:rsidRPr="002F46B6">
              <w:rPr>
                <w:rFonts w:ascii="Tahoma" w:hAnsi="Tahoma" w:cs="Tahoma"/>
                <w:sz w:val="20"/>
              </w:rPr>
              <w:t xml:space="preserve"> склад строительной площадки или франко-место, определенное договором, для передачи оборудования в монтаж. Основой для определения стоимости оборудования в сметной документации на строительство являются цены, по которым оно приобретено у поставщиков (заводов-изготовителей).</w:t>
            </w:r>
          </w:p>
          <w:p w:rsidR="0090027E" w:rsidRPr="002F46B6" w:rsidRDefault="0090027E" w:rsidP="004A59EF">
            <w:pPr>
              <w:tabs>
                <w:tab w:val="left" w:pos="10206"/>
                <w:tab w:val="left" w:pos="10348"/>
              </w:tabs>
              <w:spacing w:line="276" w:lineRule="auto"/>
              <w:rPr>
                <w:rFonts w:ascii="Tahoma" w:hAnsi="Tahoma" w:cs="Tahoma"/>
                <w:sz w:val="20"/>
              </w:rPr>
            </w:pPr>
            <w:r w:rsidRPr="002F46B6">
              <w:rPr>
                <w:rFonts w:ascii="Tahoma" w:hAnsi="Tahoma" w:cs="Tahoma"/>
                <w:sz w:val="20"/>
              </w:rPr>
              <w:t xml:space="preserve">   Индекс пересчета на оборудование - региональный индекс на соответствующий период (</w:t>
            </w:r>
            <w:r w:rsidRPr="002F46B6">
              <w:rPr>
                <w:rFonts w:ascii="Tahoma" w:hAnsi="Tahoma" w:cs="Tahoma"/>
                <w:i/>
                <w:sz w:val="20"/>
              </w:rPr>
              <w:t>при наличии</w:t>
            </w:r>
            <w:r w:rsidRPr="002F46B6">
              <w:rPr>
                <w:rFonts w:ascii="Tahoma" w:hAnsi="Tahoma" w:cs="Tahoma"/>
                <w:sz w:val="20"/>
              </w:rPr>
              <w:t xml:space="preserve">). </w:t>
            </w:r>
          </w:p>
          <w:p w:rsidR="0090027E" w:rsidRPr="002F46B6" w:rsidRDefault="0090027E" w:rsidP="00070571">
            <w:pPr>
              <w:tabs>
                <w:tab w:val="left" w:pos="10206"/>
                <w:tab w:val="left" w:pos="10348"/>
              </w:tabs>
              <w:spacing w:line="276" w:lineRule="auto"/>
              <w:jc w:val="left"/>
              <w:rPr>
                <w:rFonts w:ascii="Tahoma" w:hAnsi="Tahoma" w:cs="Tahoma"/>
                <w:sz w:val="20"/>
                <w:highlight w:val="yellow"/>
              </w:rPr>
            </w:pPr>
            <w:r w:rsidRPr="002F46B6">
              <w:rPr>
                <w:rFonts w:ascii="Tahoma" w:hAnsi="Tahoma" w:cs="Tahoma"/>
                <w:sz w:val="20"/>
              </w:rPr>
              <w:t xml:space="preserve">  При отсутствии региональных индексов, применяются по соответствующей отрасли ежеквартальные индексы изменения сметной стоимости, выпускаемые Минстроем РФ в разрезе субъектов РФ</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4.</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Сводный сметный расчет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236BFE">
            <w:pPr>
              <w:tabs>
                <w:tab w:val="left" w:pos="10206"/>
                <w:tab w:val="left" w:pos="10348"/>
              </w:tabs>
              <w:spacing w:line="276" w:lineRule="auto"/>
              <w:jc w:val="left"/>
              <w:rPr>
                <w:rFonts w:ascii="Tahoma" w:hAnsi="Tahoma" w:cs="Tahoma"/>
                <w:sz w:val="20"/>
              </w:rPr>
            </w:pPr>
            <w:r w:rsidRPr="002F46B6">
              <w:rPr>
                <w:rFonts w:ascii="Tahoma" w:hAnsi="Tahoma" w:cs="Tahoma"/>
                <w:sz w:val="20"/>
              </w:rPr>
              <w:t xml:space="preserve">Согласно </w:t>
            </w:r>
            <w:hyperlink r:id="rId8" w:history="1">
              <w:r w:rsidRPr="002F46B6">
                <w:rPr>
                  <w:rFonts w:ascii="Tahoma" w:hAnsi="Tahoma" w:cs="Tahoma"/>
                  <w:sz w:val="20"/>
                </w:rPr>
                <w:t>п.4.71 МДС 81-35.2004</w:t>
              </w:r>
            </w:hyperlink>
            <w:r w:rsidRPr="002F46B6">
              <w:rPr>
                <w:rFonts w:ascii="Tahoma" w:hAnsi="Tahoma" w:cs="Tahoma"/>
                <w:sz w:val="20"/>
              </w:rPr>
              <w:t xml:space="preserve"> выполнить сводный сметный расчет (ССР) в  главах в соответствии с</w:t>
            </w:r>
            <w:r>
              <w:rPr>
                <w:rFonts w:ascii="Tahoma" w:hAnsi="Tahoma" w:cs="Tahoma"/>
                <w:sz w:val="20"/>
              </w:rPr>
              <w:t xml:space="preserve"> Ведомостью объемов работ</w:t>
            </w:r>
            <w:r w:rsidRPr="002F46B6">
              <w:rPr>
                <w:rFonts w:ascii="Tahoma" w:hAnsi="Tahoma" w:cs="Tahoma"/>
                <w:sz w:val="20"/>
              </w:rPr>
              <w:t xml:space="preserve">, по форме </w:t>
            </w:r>
            <w:hyperlink r:id="rId9" w:history="1">
              <w:r w:rsidRPr="002F46B6">
                <w:rPr>
                  <w:rFonts w:ascii="Tahoma" w:hAnsi="Tahoma" w:cs="Tahoma"/>
                  <w:sz w:val="20"/>
                </w:rPr>
                <w:t>Приложения N 2, Образец N 1 МДС 81-35.2004</w:t>
              </w:r>
            </w:hyperlink>
            <w:r>
              <w:rPr>
                <w:rFonts w:ascii="Tahoma" w:hAnsi="Tahoma" w:cs="Tahoma"/>
                <w:sz w:val="20"/>
              </w:rPr>
              <w:t>.</w:t>
            </w:r>
            <w:r w:rsidRPr="002F46B6">
              <w:rPr>
                <w:rFonts w:ascii="Tahoma" w:hAnsi="Tahoma" w:cs="Tahoma"/>
                <w:sz w:val="20"/>
              </w:rPr>
              <w:t xml:space="preserve">   </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5.</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Объектные сметы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070571">
            <w:pPr>
              <w:tabs>
                <w:tab w:val="left" w:pos="10206"/>
                <w:tab w:val="left" w:pos="10348"/>
              </w:tabs>
              <w:spacing w:before="100" w:beforeAutospacing="1" w:after="100" w:afterAutospacing="1" w:line="276" w:lineRule="auto"/>
              <w:rPr>
                <w:rFonts w:ascii="Tahoma" w:hAnsi="Tahoma" w:cs="Tahoma"/>
                <w:sz w:val="20"/>
              </w:rPr>
            </w:pPr>
            <w:r w:rsidRPr="002F46B6">
              <w:rPr>
                <w:rFonts w:ascii="Tahoma" w:hAnsi="Tahoma" w:cs="Tahoma"/>
                <w:sz w:val="20"/>
              </w:rPr>
              <w:t xml:space="preserve">Согласно </w:t>
            </w:r>
            <w:hyperlink r:id="rId10" w:history="1">
              <w:r w:rsidRPr="002F46B6">
                <w:rPr>
                  <w:rFonts w:ascii="Tahoma" w:hAnsi="Tahoma" w:cs="Tahoma"/>
                  <w:sz w:val="20"/>
                </w:rPr>
                <w:t>п.3.17 МДС 81-35.2004</w:t>
              </w:r>
            </w:hyperlink>
            <w:r w:rsidRPr="002F46B6">
              <w:rPr>
                <w:rFonts w:ascii="Tahoma" w:hAnsi="Tahoma" w:cs="Tahoma"/>
                <w:sz w:val="20"/>
              </w:rPr>
              <w:t xml:space="preserve"> объектную смету выполнять по форме </w:t>
            </w:r>
            <w:hyperlink r:id="rId11" w:history="1">
              <w:r w:rsidRPr="002F46B6">
                <w:rPr>
                  <w:rFonts w:ascii="Tahoma" w:hAnsi="Tahoma" w:cs="Tahoma"/>
                  <w:sz w:val="20"/>
                </w:rPr>
                <w:t>приложения N2, образец N3 МДС 81-35.2004</w:t>
              </w:r>
            </w:hyperlink>
            <w:r>
              <w:rPr>
                <w:rFonts w:ascii="Tahoma" w:hAnsi="Tahoma" w:cs="Tahoma"/>
                <w:sz w:val="20"/>
              </w:rPr>
              <w:t>.</w:t>
            </w:r>
            <w:r w:rsidRPr="002F46B6">
              <w:rPr>
                <w:rFonts w:ascii="Tahoma" w:hAnsi="Tahoma" w:cs="Tahoma"/>
                <w:sz w:val="20"/>
              </w:rPr>
              <w:t xml:space="preserve"> Нумерацию объектных смет (расчетов) выполнять согласно </w:t>
            </w:r>
            <w:hyperlink r:id="rId12" w:history="1">
              <w:r w:rsidRPr="002F46B6">
                <w:rPr>
                  <w:rFonts w:ascii="Tahoma" w:hAnsi="Tahoma" w:cs="Tahoma"/>
                  <w:sz w:val="20"/>
                </w:rPr>
                <w:t>п.3.25 МДС 81-35.2004</w:t>
              </w:r>
            </w:hyperlink>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Локальные сметы (расчеты)</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613F0A">
            <w:pPr>
              <w:tabs>
                <w:tab w:val="left" w:pos="10206"/>
                <w:tab w:val="left" w:pos="10348"/>
              </w:tabs>
              <w:spacing w:before="100" w:beforeAutospacing="1" w:after="100" w:afterAutospacing="1" w:line="276" w:lineRule="auto"/>
              <w:rPr>
                <w:rFonts w:ascii="Tahoma" w:hAnsi="Tahoma" w:cs="Tahoma"/>
                <w:sz w:val="20"/>
              </w:rPr>
            </w:pPr>
            <w:r w:rsidRPr="002F46B6">
              <w:rPr>
                <w:rFonts w:ascii="Tahoma" w:hAnsi="Tahoma" w:cs="Tahoma"/>
                <w:sz w:val="20"/>
              </w:rPr>
              <w:t xml:space="preserve">Выполнять по форме </w:t>
            </w:r>
            <w:hyperlink r:id="rId13" w:history="1">
              <w:r w:rsidRPr="002F46B6">
                <w:rPr>
                  <w:rFonts w:ascii="Tahoma" w:hAnsi="Tahoma" w:cs="Tahoma"/>
                  <w:sz w:val="20"/>
                </w:rPr>
                <w:t>приложения № 2, образец № 4 МДС 81-35.2004</w:t>
              </w:r>
            </w:hyperlink>
            <w:r w:rsidRPr="002F46B6">
              <w:rPr>
                <w:rFonts w:ascii="Tahoma" w:hAnsi="Tahoma" w:cs="Tahoma"/>
                <w:sz w:val="20"/>
              </w:rPr>
              <w:t xml:space="preserve">, в </w:t>
            </w:r>
            <w:r>
              <w:rPr>
                <w:rFonts w:ascii="Tahoma" w:hAnsi="Tahoma" w:cs="Tahoma"/>
                <w:sz w:val="20"/>
              </w:rPr>
              <w:t xml:space="preserve">текущих </w:t>
            </w:r>
            <w:r w:rsidRPr="002F46B6">
              <w:rPr>
                <w:rFonts w:ascii="Tahoma" w:hAnsi="Tahoma" w:cs="Tahoma"/>
                <w:sz w:val="20"/>
              </w:rPr>
              <w:t xml:space="preserve"> цен</w:t>
            </w:r>
            <w:r>
              <w:rPr>
                <w:rFonts w:ascii="Tahoma" w:hAnsi="Tahoma" w:cs="Tahoma"/>
                <w:sz w:val="20"/>
              </w:rPr>
              <w:t>ах</w:t>
            </w:r>
            <w:r w:rsidRPr="002F46B6">
              <w:rPr>
                <w:rFonts w:ascii="Tahoma" w:hAnsi="Tahoma" w:cs="Tahoma"/>
                <w:sz w:val="20"/>
              </w:rPr>
              <w:t>.</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line="276" w:lineRule="auto"/>
              <w:jc w:val="left"/>
              <w:rPr>
                <w:rFonts w:ascii="Tahoma" w:hAnsi="Tahoma" w:cs="Tahoma"/>
                <w:sz w:val="20"/>
              </w:rPr>
            </w:pP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6.2.</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Дополнительные затраты и льготы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A06CC9">
            <w:pPr>
              <w:tabs>
                <w:tab w:val="left" w:pos="10206"/>
                <w:tab w:val="left" w:pos="10348"/>
              </w:tabs>
              <w:spacing w:before="100" w:beforeAutospacing="1" w:after="100" w:afterAutospacing="1" w:line="276" w:lineRule="auto"/>
              <w:rPr>
                <w:rFonts w:ascii="Tahoma" w:hAnsi="Tahoma" w:cs="Tahoma"/>
                <w:sz w:val="20"/>
              </w:rPr>
            </w:pPr>
            <w:r w:rsidRPr="002F46B6">
              <w:rPr>
                <w:rFonts w:ascii="Tahoma" w:hAnsi="Tahoma" w:cs="Tahoma"/>
                <w:sz w:val="20"/>
              </w:rPr>
              <w:t xml:space="preserve">Районный коэффициент к заработной плате и Надбавки к заработной плате – </w:t>
            </w:r>
            <w:proofErr w:type="gramStart"/>
            <w:r w:rsidRPr="002F46B6">
              <w:rPr>
                <w:rFonts w:ascii="Tahoma" w:hAnsi="Tahoma" w:cs="Tahoma"/>
                <w:sz w:val="20"/>
              </w:rPr>
              <w:t>согласно положений</w:t>
            </w:r>
            <w:proofErr w:type="gramEnd"/>
            <w:r w:rsidRPr="002F46B6">
              <w:rPr>
                <w:rFonts w:ascii="Tahoma" w:hAnsi="Tahoma" w:cs="Tahoma"/>
                <w:sz w:val="20"/>
              </w:rPr>
              <w:t xml:space="preserve"> Общих указаний по применению ТЕР.</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6.3.</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Коэффициенты, </w:t>
            </w:r>
            <w:r w:rsidRPr="002F46B6">
              <w:rPr>
                <w:rFonts w:ascii="Tahoma" w:hAnsi="Tahoma" w:cs="Tahoma"/>
                <w:sz w:val="20"/>
              </w:rPr>
              <w:lastRenderedPageBreak/>
              <w:t xml:space="preserve">учитывающие условия производства работ и усложняющие факторы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613F0A">
            <w:pPr>
              <w:tabs>
                <w:tab w:val="left" w:pos="10206"/>
                <w:tab w:val="left" w:pos="10348"/>
              </w:tabs>
              <w:spacing w:before="100" w:beforeAutospacing="1" w:after="100" w:afterAutospacing="1" w:line="276" w:lineRule="auto"/>
              <w:rPr>
                <w:rFonts w:ascii="Tahoma" w:hAnsi="Tahoma" w:cs="Tahoma"/>
                <w:sz w:val="20"/>
              </w:rPr>
            </w:pPr>
            <w:r w:rsidRPr="002F46B6">
              <w:rPr>
                <w:rFonts w:ascii="Tahoma" w:hAnsi="Tahoma" w:cs="Tahoma"/>
                <w:sz w:val="20"/>
              </w:rPr>
              <w:lastRenderedPageBreak/>
              <w:t xml:space="preserve">Применять только при обосновании проектом </w:t>
            </w:r>
            <w:r>
              <w:rPr>
                <w:rFonts w:ascii="Tahoma" w:hAnsi="Tahoma" w:cs="Tahoma"/>
                <w:sz w:val="20"/>
              </w:rPr>
              <w:t xml:space="preserve">производства </w:t>
            </w:r>
            <w:r w:rsidRPr="002F46B6">
              <w:rPr>
                <w:rFonts w:ascii="Tahoma" w:hAnsi="Tahoma" w:cs="Tahoma"/>
                <w:sz w:val="20"/>
              </w:rPr>
              <w:t xml:space="preserve"> </w:t>
            </w:r>
            <w:r>
              <w:rPr>
                <w:rFonts w:ascii="Tahoma" w:hAnsi="Tahoma" w:cs="Tahoma"/>
                <w:sz w:val="20"/>
              </w:rPr>
              <w:t>работ</w:t>
            </w:r>
            <w:r w:rsidRPr="002F46B6">
              <w:rPr>
                <w:rFonts w:ascii="Tahoma" w:hAnsi="Tahoma" w:cs="Tahoma"/>
                <w:sz w:val="20"/>
              </w:rPr>
              <w:t xml:space="preserve">, в </w:t>
            </w:r>
            <w:r w:rsidRPr="002F46B6">
              <w:rPr>
                <w:rFonts w:ascii="Tahoma" w:hAnsi="Tahoma" w:cs="Tahoma"/>
                <w:sz w:val="20"/>
              </w:rPr>
              <w:lastRenderedPageBreak/>
              <w:t xml:space="preserve">том числе и коэффициенты </w:t>
            </w:r>
            <w:hyperlink r:id="rId14" w:history="1">
              <w:r w:rsidRPr="002F46B6">
                <w:rPr>
                  <w:rFonts w:ascii="Tahoma" w:hAnsi="Tahoma" w:cs="Tahoma"/>
                  <w:sz w:val="20"/>
                </w:rPr>
                <w:t>приложений № 3 МДС 81-36.2004</w:t>
              </w:r>
            </w:hyperlink>
            <w:r w:rsidRPr="002F46B6">
              <w:rPr>
                <w:rFonts w:ascii="Tahoma" w:hAnsi="Tahoma" w:cs="Tahoma"/>
                <w:sz w:val="20"/>
              </w:rPr>
              <w:t xml:space="preserve">, </w:t>
            </w:r>
            <w:hyperlink r:id="rId15" w:history="1">
              <w:r w:rsidRPr="002F46B6">
                <w:rPr>
                  <w:rFonts w:ascii="Tahoma" w:hAnsi="Tahoma" w:cs="Tahoma"/>
                  <w:sz w:val="20"/>
                </w:rPr>
                <w:t>МДС 81-37.2004</w:t>
              </w:r>
            </w:hyperlink>
            <w:r w:rsidRPr="002F46B6">
              <w:rPr>
                <w:rFonts w:ascii="Tahoma" w:hAnsi="Tahoma" w:cs="Tahoma"/>
                <w:sz w:val="20"/>
              </w:rPr>
              <w:t>, МДС 81-38.2004, МДС81-40.2006</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6.4.</w:t>
            </w:r>
          </w:p>
        </w:tc>
        <w:tc>
          <w:tcPr>
            <w:tcW w:w="2245"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Материальные ресурсы, не учтенные расценками </w:t>
            </w:r>
          </w:p>
        </w:tc>
        <w:tc>
          <w:tcPr>
            <w:tcW w:w="6853"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tcPr>
          <w:p w:rsidR="0090027E" w:rsidRPr="002F46B6" w:rsidRDefault="0090027E" w:rsidP="004A59EF">
            <w:pPr>
              <w:pStyle w:val="FORMATTEXT"/>
              <w:tabs>
                <w:tab w:val="left" w:pos="1418"/>
                <w:tab w:val="left" w:pos="10206"/>
                <w:tab w:val="left" w:pos="10348"/>
              </w:tabs>
              <w:jc w:val="both"/>
              <w:rPr>
                <w:rFonts w:ascii="Tahoma" w:hAnsi="Tahoma" w:cs="Tahoma"/>
                <w:sz w:val="20"/>
                <w:szCs w:val="20"/>
              </w:rPr>
            </w:pPr>
            <w:r w:rsidRPr="002F46B6">
              <w:rPr>
                <w:rFonts w:ascii="Tahoma" w:hAnsi="Tahoma" w:cs="Tahoma"/>
                <w:sz w:val="20"/>
                <w:szCs w:val="20"/>
              </w:rPr>
              <w:t xml:space="preserve">Стоимость материалов, отсутствующих в базисном уровне цен, указывается в сметной документации путем пересчета стоимости из текущего уровня цен данных материалов в базисный уровень цен ("обратным счетом") с использованием индекса пересчета на материалы, утвержденного в установленном порядке на дату текущего уровня цен составления сметной документации. В случае применения импортных материалов их стоимость в текущем уровне цен при пересчете должна быть указана в рублевом исчислении. </w:t>
            </w:r>
            <w:r w:rsidRPr="002F46B6">
              <w:rPr>
                <w:rFonts w:ascii="Tahoma" w:hAnsi="Tahoma" w:cs="Tahoma"/>
                <w:i/>
                <w:sz w:val="20"/>
                <w:szCs w:val="20"/>
              </w:rPr>
              <w:t>В наименовании позиции ЛС/ЛСР обязательно указывается информация о валютной составляющей (стоимость материала и валютный курс).</w:t>
            </w:r>
          </w:p>
          <w:p w:rsidR="0090027E" w:rsidRPr="002F46B6" w:rsidRDefault="0090027E" w:rsidP="004A59EF">
            <w:pPr>
              <w:tabs>
                <w:tab w:val="left" w:pos="10206"/>
                <w:tab w:val="left" w:pos="10348"/>
              </w:tabs>
              <w:spacing w:line="276" w:lineRule="auto"/>
              <w:jc w:val="left"/>
              <w:rPr>
                <w:rFonts w:ascii="Tahoma" w:hAnsi="Tahoma" w:cs="Tahoma"/>
                <w:sz w:val="20"/>
              </w:rPr>
            </w:pPr>
            <w:r w:rsidRPr="002F46B6">
              <w:rPr>
                <w:rFonts w:ascii="Tahoma" w:hAnsi="Tahoma" w:cs="Tahoma"/>
                <w:sz w:val="20"/>
              </w:rPr>
              <w:t xml:space="preserve">     При пересчете стоимости материальных ресурсов "обратным счетом" под каждой строкой сметы должно быть показано ценообразование.</w:t>
            </w:r>
          </w:p>
          <w:p w:rsidR="0090027E" w:rsidRPr="002F46B6" w:rsidRDefault="0090027E" w:rsidP="004A59EF">
            <w:pPr>
              <w:pStyle w:val="FORMATTEXT"/>
              <w:tabs>
                <w:tab w:val="left" w:pos="1418"/>
                <w:tab w:val="left" w:pos="1560"/>
                <w:tab w:val="left" w:pos="10206"/>
                <w:tab w:val="left" w:pos="10348"/>
              </w:tabs>
              <w:spacing w:line="276" w:lineRule="auto"/>
              <w:rPr>
                <w:rFonts w:ascii="Tahoma" w:hAnsi="Tahoma" w:cs="Tahoma"/>
                <w:sz w:val="20"/>
                <w:szCs w:val="20"/>
              </w:rPr>
            </w:pPr>
            <w:r w:rsidRPr="002F46B6">
              <w:rPr>
                <w:rFonts w:ascii="Tahoma" w:hAnsi="Tahoma" w:cs="Tahoma"/>
                <w:sz w:val="20"/>
                <w:szCs w:val="20"/>
              </w:rPr>
              <w:t xml:space="preserve">     Для строительных работ стоимость материальных ресурсов, не учтенных расценками, учитывается отдельной строкой, следующей за расценкой. В монтажных работах стоимость материальных ресурсов, не учтенных расценкой, показывается в отдельном разделе. При пересчете "обратным счетом" в базисный уровень цен текущая стоимость материалов подтверждается документами (договорами, контрактами, прайс-листами и т.д.), согласованными заказчиком. Прайс-листы (другие документы) должны быть ближайшими к дате составления документации</w:t>
            </w:r>
            <w:r>
              <w:rPr>
                <w:rFonts w:ascii="Tahoma" w:hAnsi="Tahoma" w:cs="Tahoma"/>
                <w:sz w:val="20"/>
                <w:szCs w:val="20"/>
              </w:rPr>
              <w:t>.</w:t>
            </w:r>
            <w:r w:rsidRPr="002F46B6">
              <w:rPr>
                <w:rFonts w:ascii="Tahoma" w:hAnsi="Tahoma" w:cs="Tahoma"/>
                <w:sz w:val="20"/>
                <w:szCs w:val="20"/>
              </w:rPr>
              <w:br/>
              <w:t xml:space="preserve">  Пересчет в текущий уровень цен базисной стоимости материалов, определенной "обратным счетом", производится с применением того же индекса.</w:t>
            </w:r>
            <w:r w:rsidRPr="002F46B6">
              <w:rPr>
                <w:rFonts w:ascii="Tahoma" w:hAnsi="Tahoma" w:cs="Tahoma"/>
                <w:sz w:val="20"/>
                <w:szCs w:val="20"/>
              </w:rPr>
              <w:br/>
              <w:t xml:space="preserve">   Транспортные расходы для базисной стоимости материалов:</w:t>
            </w:r>
          </w:p>
          <w:p w:rsidR="0090027E" w:rsidRPr="002F46B6" w:rsidRDefault="0090027E" w:rsidP="004A59EF">
            <w:pPr>
              <w:pStyle w:val="FORMATTEXT"/>
              <w:tabs>
                <w:tab w:val="left" w:pos="1418"/>
                <w:tab w:val="left" w:pos="1560"/>
                <w:tab w:val="left" w:pos="10206"/>
                <w:tab w:val="left" w:pos="10348"/>
              </w:tabs>
              <w:spacing w:line="276" w:lineRule="auto"/>
              <w:rPr>
                <w:rFonts w:ascii="Tahoma" w:hAnsi="Tahoma" w:cs="Tahoma"/>
                <w:sz w:val="20"/>
                <w:szCs w:val="20"/>
              </w:rPr>
            </w:pPr>
            <w:r w:rsidRPr="002F46B6">
              <w:rPr>
                <w:rFonts w:ascii="Tahoma" w:hAnsi="Tahoma" w:cs="Tahoma"/>
                <w:sz w:val="20"/>
                <w:szCs w:val="20"/>
              </w:rPr>
              <w:t xml:space="preserve">      </w:t>
            </w:r>
            <w:proofErr w:type="gramStart"/>
            <w:r w:rsidRPr="002F46B6">
              <w:rPr>
                <w:rFonts w:ascii="Tahoma" w:hAnsi="Tahoma" w:cs="Tahoma"/>
                <w:sz w:val="20"/>
                <w:szCs w:val="20"/>
              </w:rPr>
              <w:t xml:space="preserve">При необходимости в сметной документации предусматривается стоимость транспортировки материалов, конструкций и изделий (поставка «франко»), в том числе и от промежуточных перевалочных складов (баз) до </w:t>
            </w:r>
            <w:proofErr w:type="spellStart"/>
            <w:r w:rsidRPr="002F46B6">
              <w:rPr>
                <w:rFonts w:ascii="Tahoma" w:hAnsi="Tahoma" w:cs="Tahoma"/>
                <w:sz w:val="20"/>
                <w:szCs w:val="20"/>
              </w:rPr>
              <w:t>приобъектных</w:t>
            </w:r>
            <w:proofErr w:type="spellEnd"/>
            <w:r w:rsidRPr="002F46B6">
              <w:rPr>
                <w:rFonts w:ascii="Tahoma" w:hAnsi="Tahoma" w:cs="Tahoma"/>
                <w:sz w:val="20"/>
                <w:szCs w:val="20"/>
              </w:rPr>
              <w:t xml:space="preserve"> складов (территориально отличающихся от приведенных в ОУ ТЕР субъекта РФ/зоны) в соответствии с Транспортной схемой, представленной в «П</w:t>
            </w:r>
            <w:r>
              <w:rPr>
                <w:rFonts w:ascii="Tahoma" w:hAnsi="Tahoma" w:cs="Tahoma"/>
                <w:sz w:val="20"/>
                <w:szCs w:val="20"/>
              </w:rPr>
              <w:t>ПР</w:t>
            </w:r>
            <w:r w:rsidRPr="002F46B6">
              <w:rPr>
                <w:rFonts w:ascii="Tahoma" w:hAnsi="Tahoma" w:cs="Tahoma"/>
                <w:sz w:val="20"/>
                <w:szCs w:val="20"/>
              </w:rPr>
              <w:t xml:space="preserve">». </w:t>
            </w:r>
            <w:proofErr w:type="gramEnd"/>
          </w:p>
          <w:p w:rsidR="0090027E" w:rsidRPr="00C55FA2" w:rsidRDefault="0090027E" w:rsidP="00C55FA2">
            <w:pPr>
              <w:pStyle w:val="FORMATTEXT"/>
              <w:tabs>
                <w:tab w:val="left" w:pos="10206"/>
                <w:tab w:val="left" w:pos="10348"/>
              </w:tabs>
              <w:spacing w:line="276" w:lineRule="auto"/>
              <w:jc w:val="both"/>
              <w:rPr>
                <w:rFonts w:ascii="Tahoma" w:hAnsi="Tahoma" w:cs="Tahoma"/>
                <w:sz w:val="20"/>
                <w:szCs w:val="20"/>
              </w:rPr>
            </w:pPr>
            <w:r w:rsidRPr="002F46B6">
              <w:rPr>
                <w:rFonts w:ascii="Tahoma" w:hAnsi="Tahoma" w:cs="Tahoma"/>
                <w:sz w:val="20"/>
                <w:szCs w:val="20"/>
              </w:rPr>
              <w:t xml:space="preserve">   Транспортные схемы, таблицы с расчетом весов, перевозимых ТМЦ, согласовываются с заказчиком.</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6.5.</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Стоимость оборудования, мебели и инвентаря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C55FA2">
            <w:pPr>
              <w:pStyle w:val="FORMATTEXT"/>
              <w:tabs>
                <w:tab w:val="left" w:pos="1418"/>
                <w:tab w:val="left" w:pos="10206"/>
                <w:tab w:val="left" w:pos="10348"/>
              </w:tabs>
              <w:jc w:val="both"/>
              <w:rPr>
                <w:rFonts w:ascii="Tahoma" w:hAnsi="Tahoma" w:cs="Tahoma"/>
                <w:sz w:val="20"/>
                <w:szCs w:val="20"/>
              </w:rPr>
            </w:pPr>
            <w:r w:rsidRPr="002F46B6">
              <w:rPr>
                <w:rFonts w:ascii="Tahoma" w:hAnsi="Tahoma" w:cs="Tahoma"/>
                <w:sz w:val="20"/>
                <w:szCs w:val="20"/>
              </w:rPr>
              <w:t xml:space="preserve">Стоимость оборудования, требующего монтажа, учитывать в отдельном разделе локального (расчета) сметы на монтажные работы. </w:t>
            </w:r>
            <w:r w:rsidRPr="002F46B6">
              <w:rPr>
                <w:rFonts w:ascii="Tahoma" w:hAnsi="Tahoma" w:cs="Tahoma"/>
                <w:sz w:val="20"/>
                <w:szCs w:val="20"/>
              </w:rPr>
              <w:br/>
              <w:t xml:space="preserve">  Стоимость оборудования, мебели и инвентаря определяется пересчетом стоимости из текущего уровня цен в базисный уровень цен с соответствующим индексом.</w:t>
            </w:r>
            <w:r w:rsidRPr="002F46B6">
              <w:rPr>
                <w:rFonts w:ascii="Tahoma" w:hAnsi="Tahoma" w:cs="Tahoma"/>
                <w:sz w:val="20"/>
                <w:szCs w:val="20"/>
              </w:rPr>
              <w:br/>
              <w:t xml:space="preserve">  В случае применения импортного оборудования их стоимость в текущем уровне цен при пересчете должна быть указана в рублевом исчислении. </w:t>
            </w:r>
            <w:r w:rsidRPr="002F46B6">
              <w:rPr>
                <w:rFonts w:ascii="Tahoma" w:hAnsi="Tahoma" w:cs="Tahoma"/>
                <w:i/>
                <w:sz w:val="20"/>
                <w:szCs w:val="20"/>
              </w:rPr>
              <w:t>В наименовании позиции ЛС/ЛСР обязательно указывается информация о валютной составляющей (стоимость материала и валютный курс).</w:t>
            </w:r>
            <w:r w:rsidRPr="002F46B6">
              <w:rPr>
                <w:rFonts w:ascii="Tahoma" w:hAnsi="Tahoma" w:cs="Tahoma"/>
                <w:sz w:val="20"/>
                <w:szCs w:val="20"/>
              </w:rPr>
              <w:br/>
              <w:t xml:space="preserve">    Пересчет в текущий уровень цен базисной стоимости оборудования, определенной "обратным счетом", производится с применением того же индекса.</w:t>
            </w:r>
            <w:r w:rsidRPr="002F46B6">
              <w:rPr>
                <w:rFonts w:ascii="Tahoma" w:hAnsi="Tahoma" w:cs="Tahoma"/>
                <w:sz w:val="20"/>
                <w:szCs w:val="20"/>
              </w:rPr>
              <w:br/>
            </w:r>
            <w:r w:rsidRPr="002F46B6">
              <w:rPr>
                <w:rFonts w:ascii="Tahoma" w:hAnsi="Tahoma" w:cs="Tahoma"/>
                <w:i/>
                <w:sz w:val="20"/>
                <w:szCs w:val="20"/>
              </w:rPr>
              <w:t xml:space="preserve">   </w:t>
            </w:r>
            <w:r w:rsidRPr="002F46B6">
              <w:rPr>
                <w:rFonts w:ascii="Tahoma" w:hAnsi="Tahoma" w:cs="Tahoma"/>
                <w:sz w:val="20"/>
                <w:szCs w:val="20"/>
              </w:rPr>
              <w:t xml:space="preserve">  </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6.7.</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Накладные расходы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line="276" w:lineRule="auto"/>
              <w:rPr>
                <w:rFonts w:ascii="Tahoma" w:hAnsi="Tahoma" w:cs="Tahoma"/>
                <w:sz w:val="20"/>
              </w:rPr>
            </w:pPr>
            <w:proofErr w:type="gramStart"/>
            <w:r w:rsidRPr="002F46B6">
              <w:rPr>
                <w:rFonts w:ascii="Tahoma" w:hAnsi="Tahoma" w:cs="Tahoma"/>
                <w:sz w:val="20"/>
              </w:rPr>
              <w:t xml:space="preserve">Нормативы </w:t>
            </w:r>
            <w:hyperlink r:id="rId16" w:history="1">
              <w:r w:rsidRPr="002F46B6">
                <w:rPr>
                  <w:rFonts w:ascii="Tahoma" w:hAnsi="Tahoma" w:cs="Tahoma"/>
                  <w:i/>
                  <w:sz w:val="20"/>
                </w:rPr>
                <w:t>МДС 81-33.2004</w:t>
              </w:r>
            </w:hyperlink>
            <w:r w:rsidRPr="002F46B6">
              <w:rPr>
                <w:rFonts w:ascii="Tahoma" w:hAnsi="Tahoma" w:cs="Tahoma"/>
                <w:i/>
                <w:sz w:val="20"/>
              </w:rPr>
              <w:t xml:space="preserve"> / МДС 81-34.2004по видам работ с учетом положений письма Федерального агентства по строительству </w:t>
            </w:r>
            <w:r w:rsidRPr="002F46B6">
              <w:rPr>
                <w:rFonts w:ascii="Tahoma" w:hAnsi="Tahoma" w:cs="Tahoma"/>
                <w:i/>
                <w:sz w:val="20"/>
              </w:rPr>
              <w:lastRenderedPageBreak/>
              <w:t>и коммунальному хозяйству (Госстрой России) от 27.11.2012 №2536-ИП/12/ГС).</w:t>
            </w:r>
            <w:proofErr w:type="gramEnd"/>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6.8.</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Сметная прибыль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line="276" w:lineRule="auto"/>
              <w:rPr>
                <w:rFonts w:ascii="Tahoma" w:hAnsi="Tahoma" w:cs="Tahoma"/>
                <w:sz w:val="20"/>
              </w:rPr>
            </w:pPr>
            <w:proofErr w:type="gramStart"/>
            <w:r w:rsidRPr="002F46B6">
              <w:rPr>
                <w:rFonts w:ascii="Tahoma" w:hAnsi="Tahoma" w:cs="Tahoma"/>
                <w:sz w:val="20"/>
              </w:rPr>
              <w:t xml:space="preserve">Нормативы </w:t>
            </w:r>
            <w:hyperlink r:id="rId17" w:history="1">
              <w:r w:rsidRPr="002F46B6">
                <w:rPr>
                  <w:rFonts w:ascii="Tahoma" w:hAnsi="Tahoma" w:cs="Tahoma"/>
                  <w:sz w:val="20"/>
                </w:rPr>
                <w:t>МДС 81-25.2001</w:t>
              </w:r>
            </w:hyperlink>
            <w:r w:rsidRPr="002F46B6">
              <w:rPr>
                <w:rFonts w:ascii="Tahoma" w:hAnsi="Tahoma" w:cs="Tahoma"/>
                <w:i/>
                <w:sz w:val="20"/>
              </w:rPr>
              <w:t>по видам работ с учетом положений письма Федерального агентства по строительству и коммунальному хозяйству (Госстрой России) от 27.11.2012 №2536-ИП/12/ГС).</w:t>
            </w:r>
            <w:proofErr w:type="gramEnd"/>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14.</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Налог на добавленную стоимость </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 xml:space="preserve">В текущем уровне цен в соответствии с действующим </w:t>
            </w:r>
            <w:hyperlink r:id="rId18" w:history="1">
              <w:r w:rsidRPr="002F46B6">
                <w:rPr>
                  <w:rFonts w:ascii="Tahoma" w:hAnsi="Tahoma" w:cs="Tahoma"/>
                  <w:sz w:val="20"/>
                </w:rPr>
                <w:t>Налоговым кодексом РФ</w:t>
              </w:r>
            </w:hyperlink>
            <w:r w:rsidRPr="002F46B6">
              <w:rPr>
                <w:rFonts w:ascii="Tahoma" w:hAnsi="Tahoma" w:cs="Tahoma"/>
                <w:sz w:val="20"/>
              </w:rPr>
              <w:t xml:space="preserve"> за итогом глав </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r w:rsidRPr="002F46B6">
              <w:rPr>
                <w:rFonts w:ascii="Tahoma" w:hAnsi="Tahoma" w:cs="Tahoma"/>
                <w:sz w:val="20"/>
              </w:rPr>
              <w:t>16.</w:t>
            </w: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rPr>
                <w:rFonts w:ascii="Tahoma" w:hAnsi="Tahoma" w:cs="Tahoma"/>
                <w:sz w:val="20"/>
              </w:rPr>
            </w:pPr>
            <w:r w:rsidRPr="002F46B6">
              <w:rPr>
                <w:rFonts w:ascii="Tahoma" w:hAnsi="Tahoma" w:cs="Tahoma"/>
                <w:sz w:val="20"/>
              </w:rPr>
              <w:t>Передача материалов сметной документации заказчику</w:t>
            </w: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613F0A">
            <w:pPr>
              <w:tabs>
                <w:tab w:val="left" w:pos="10206"/>
                <w:tab w:val="left" w:pos="10348"/>
              </w:tabs>
              <w:spacing w:before="100" w:beforeAutospacing="1" w:after="100" w:afterAutospacing="1"/>
              <w:jc w:val="left"/>
              <w:rPr>
                <w:rFonts w:ascii="Tahoma" w:hAnsi="Tahoma" w:cs="Tahoma"/>
                <w:sz w:val="20"/>
              </w:rPr>
            </w:pPr>
            <w:r>
              <w:rPr>
                <w:rFonts w:ascii="Tahoma" w:hAnsi="Tahoma" w:cs="Tahoma"/>
                <w:sz w:val="20"/>
              </w:rPr>
              <w:t>О</w:t>
            </w:r>
            <w:r w:rsidRPr="002F46B6">
              <w:rPr>
                <w:rFonts w:ascii="Tahoma" w:hAnsi="Tahoma" w:cs="Tahoma"/>
                <w:sz w:val="20"/>
              </w:rPr>
              <w:t xml:space="preserve">ригинальных (редактируемых) </w:t>
            </w:r>
            <w:proofErr w:type="gramStart"/>
            <w:r w:rsidRPr="002F46B6">
              <w:rPr>
                <w:rFonts w:ascii="Tahoma" w:hAnsi="Tahoma" w:cs="Tahoma"/>
                <w:sz w:val="20"/>
              </w:rPr>
              <w:t>форматах</w:t>
            </w:r>
            <w:proofErr w:type="gramEnd"/>
            <w:r w:rsidRPr="002F46B6">
              <w:rPr>
                <w:rFonts w:ascii="Tahoma" w:hAnsi="Tahoma" w:cs="Tahoma"/>
                <w:sz w:val="20"/>
              </w:rPr>
              <w:t xml:space="preserve">: ПО «Гранд-Сметы» - </w:t>
            </w:r>
            <w:proofErr w:type="gramStart"/>
            <w:r w:rsidRPr="002F46B6">
              <w:rPr>
                <w:rFonts w:ascii="Tahoma" w:hAnsi="Tahoma" w:cs="Tahoma"/>
                <w:sz w:val="20"/>
              </w:rPr>
              <w:t xml:space="preserve">( </w:t>
            </w:r>
            <w:proofErr w:type="gramEnd"/>
            <w:r w:rsidRPr="002F46B6">
              <w:rPr>
                <w:rFonts w:ascii="Tahoma" w:hAnsi="Tahoma" w:cs="Tahoma"/>
                <w:sz w:val="20"/>
              </w:rPr>
              <w:t>«</w:t>
            </w:r>
            <w:proofErr w:type="spellStart"/>
            <w:r w:rsidRPr="002F46B6">
              <w:rPr>
                <w:rFonts w:ascii="Tahoma" w:hAnsi="Tahoma" w:cs="Tahoma"/>
                <w:sz w:val="20"/>
              </w:rPr>
              <w:t>Excel</w:t>
            </w:r>
            <w:proofErr w:type="spellEnd"/>
            <w:r w:rsidRPr="002F46B6">
              <w:rPr>
                <w:rFonts w:ascii="Tahoma" w:hAnsi="Tahoma" w:cs="Tahoma"/>
                <w:sz w:val="20"/>
              </w:rPr>
              <w:t>» - (.</w:t>
            </w:r>
            <w:proofErr w:type="spellStart"/>
            <w:r w:rsidRPr="002F46B6">
              <w:rPr>
                <w:rFonts w:ascii="Tahoma" w:hAnsi="Tahoma" w:cs="Tahoma"/>
                <w:sz w:val="20"/>
              </w:rPr>
              <w:t>xls</w:t>
            </w:r>
            <w:proofErr w:type="spellEnd"/>
            <w:r w:rsidRPr="002F46B6">
              <w:rPr>
                <w:rFonts w:ascii="Tahoma" w:hAnsi="Tahoma" w:cs="Tahoma"/>
                <w:sz w:val="20"/>
              </w:rPr>
              <w:t>)</w:t>
            </w:r>
          </w:p>
        </w:tc>
      </w:tr>
      <w:tr w:rsidR="0090027E" w:rsidRPr="002F46B6" w:rsidTr="0090027E">
        <w:trPr>
          <w:trHeight w:val="146"/>
          <w:tblCellSpacing w:w="15" w:type="dxa"/>
        </w:trPr>
        <w:tc>
          <w:tcPr>
            <w:tcW w:w="132" w:type="dxa"/>
            <w:vAlign w:val="center"/>
          </w:tcPr>
          <w:p w:rsidR="0090027E" w:rsidRPr="002F46B6" w:rsidRDefault="0090027E" w:rsidP="004A59EF">
            <w:pPr>
              <w:tabs>
                <w:tab w:val="left" w:pos="10206"/>
                <w:tab w:val="left" w:pos="10348"/>
              </w:tabs>
              <w:rPr>
                <w:rFonts w:ascii="Tahoma" w:hAnsi="Tahoma" w:cs="Tahoma"/>
                <w:sz w:val="20"/>
              </w:rPr>
            </w:pPr>
          </w:p>
        </w:tc>
        <w:tc>
          <w:tcPr>
            <w:tcW w:w="7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center"/>
              <w:rPr>
                <w:rFonts w:ascii="Tahoma" w:hAnsi="Tahoma" w:cs="Tahoma"/>
                <w:sz w:val="20"/>
              </w:rPr>
            </w:pPr>
          </w:p>
        </w:tc>
        <w:tc>
          <w:tcPr>
            <w:tcW w:w="224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A59EF">
            <w:pPr>
              <w:tabs>
                <w:tab w:val="left" w:pos="10206"/>
                <w:tab w:val="left" w:pos="10348"/>
              </w:tabs>
              <w:spacing w:before="100" w:beforeAutospacing="1" w:after="100" w:afterAutospacing="1"/>
              <w:jc w:val="left"/>
              <w:rPr>
                <w:rFonts w:ascii="Tahoma" w:hAnsi="Tahoma" w:cs="Tahoma"/>
                <w:sz w:val="20"/>
                <w:highlight w:val="cyan"/>
              </w:rPr>
            </w:pPr>
          </w:p>
        </w:tc>
        <w:tc>
          <w:tcPr>
            <w:tcW w:w="68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0027E" w:rsidRPr="002F46B6" w:rsidRDefault="0090027E" w:rsidP="004D66DE">
            <w:pPr>
              <w:pStyle w:val="FORMATTEXT"/>
              <w:tabs>
                <w:tab w:val="left" w:pos="439"/>
                <w:tab w:val="left" w:pos="851"/>
                <w:tab w:val="left" w:pos="1276"/>
                <w:tab w:val="left" w:pos="1418"/>
                <w:tab w:val="left" w:pos="10206"/>
                <w:tab w:val="left" w:pos="10348"/>
              </w:tabs>
              <w:jc w:val="both"/>
              <w:rPr>
                <w:rFonts w:ascii="Tahoma" w:hAnsi="Tahoma" w:cs="Tahoma"/>
                <w:sz w:val="20"/>
                <w:szCs w:val="20"/>
                <w:highlight w:val="cyan"/>
              </w:rPr>
            </w:pPr>
          </w:p>
        </w:tc>
      </w:tr>
    </w:tbl>
    <w:p w:rsidR="00DD0C31" w:rsidRPr="005C2762" w:rsidRDefault="00DD0C31" w:rsidP="00DD0C31">
      <w:pPr>
        <w:pStyle w:val="FORMATTEXT"/>
        <w:tabs>
          <w:tab w:val="left" w:pos="1418"/>
          <w:tab w:val="left" w:pos="1560"/>
          <w:tab w:val="left" w:pos="10206"/>
          <w:tab w:val="left" w:pos="10348"/>
        </w:tabs>
        <w:ind w:firstLine="709"/>
        <w:jc w:val="both"/>
        <w:rPr>
          <w:rFonts w:ascii="Tahoma" w:hAnsi="Tahoma" w:cs="Tahoma"/>
          <w:u w:val="single"/>
        </w:rPr>
      </w:pPr>
    </w:p>
    <w:p w:rsidR="00DD0C31" w:rsidRPr="005C2762" w:rsidRDefault="00DD0C31" w:rsidP="00DD0C31">
      <w:pPr>
        <w:tabs>
          <w:tab w:val="left" w:pos="709"/>
          <w:tab w:val="left" w:pos="10206"/>
          <w:tab w:val="left" w:pos="10348"/>
        </w:tabs>
        <w:spacing w:line="276" w:lineRule="auto"/>
        <w:rPr>
          <w:rFonts w:ascii="Tahoma" w:hAnsi="Tahoma" w:cs="Tahoma"/>
          <w:szCs w:val="24"/>
        </w:rPr>
      </w:pPr>
      <w:r w:rsidRPr="005C2762">
        <w:rPr>
          <w:rFonts w:ascii="Tahoma" w:hAnsi="Tahoma" w:cs="Tahoma"/>
          <w:szCs w:val="24"/>
        </w:rPr>
        <w:t xml:space="preserve">         </w:t>
      </w:r>
      <w:r w:rsidRPr="005C2762">
        <w:rPr>
          <w:rFonts w:ascii="Tahoma" w:hAnsi="Tahoma" w:cs="Tahoma"/>
          <w:szCs w:val="24"/>
        </w:rPr>
        <w:tab/>
      </w:r>
      <w:r w:rsidRPr="005C2762">
        <w:rPr>
          <w:rFonts w:ascii="Tahoma" w:hAnsi="Tahoma" w:cs="Tahoma"/>
          <w:szCs w:val="24"/>
        </w:rPr>
        <w:br/>
      </w:r>
    </w:p>
    <w:p w:rsidR="0080620A" w:rsidRDefault="0080620A"/>
    <w:sectPr w:rsidR="0080620A" w:rsidSect="0090027E">
      <w:pgSz w:w="11906" w:h="16838"/>
      <w:pgMar w:top="284" w:right="566" w:bottom="1134" w:left="85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95" w:rsidRDefault="00271F95" w:rsidP="00801373">
      <w:r>
        <w:separator/>
      </w:r>
    </w:p>
  </w:endnote>
  <w:endnote w:type="continuationSeparator" w:id="0">
    <w:p w:rsidR="00271F95" w:rsidRDefault="00271F95" w:rsidP="0080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95" w:rsidRDefault="00271F95" w:rsidP="00801373">
      <w:r>
        <w:separator/>
      </w:r>
    </w:p>
  </w:footnote>
  <w:footnote w:type="continuationSeparator" w:id="0">
    <w:p w:rsidR="00271F95" w:rsidRDefault="00271F95" w:rsidP="00801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70A2"/>
    <w:multiLevelType w:val="hybridMultilevel"/>
    <w:tmpl w:val="C92AD158"/>
    <w:lvl w:ilvl="0" w:tplc="0419000D">
      <w:start w:val="1"/>
      <w:numFmt w:val="bullet"/>
      <w:lvlText w:val=""/>
      <w:lvlJc w:val="left"/>
      <w:pPr>
        <w:ind w:left="1603" w:hanging="360"/>
      </w:pPr>
      <w:rPr>
        <w:rFonts w:ascii="Wingdings" w:hAnsi="Wingdings" w:hint="default"/>
      </w:rPr>
    </w:lvl>
    <w:lvl w:ilvl="1" w:tplc="04190003" w:tentative="1">
      <w:start w:val="1"/>
      <w:numFmt w:val="bullet"/>
      <w:lvlText w:val="o"/>
      <w:lvlJc w:val="left"/>
      <w:pPr>
        <w:ind w:left="2323" w:hanging="360"/>
      </w:pPr>
      <w:rPr>
        <w:rFonts w:ascii="Courier New" w:hAnsi="Courier New" w:cs="Courier New" w:hint="default"/>
      </w:rPr>
    </w:lvl>
    <w:lvl w:ilvl="2" w:tplc="04190005" w:tentative="1">
      <w:start w:val="1"/>
      <w:numFmt w:val="bullet"/>
      <w:lvlText w:val=""/>
      <w:lvlJc w:val="left"/>
      <w:pPr>
        <w:ind w:left="3043" w:hanging="360"/>
      </w:pPr>
      <w:rPr>
        <w:rFonts w:ascii="Wingdings" w:hAnsi="Wingdings" w:hint="default"/>
      </w:rPr>
    </w:lvl>
    <w:lvl w:ilvl="3" w:tplc="04190001" w:tentative="1">
      <w:start w:val="1"/>
      <w:numFmt w:val="bullet"/>
      <w:lvlText w:val=""/>
      <w:lvlJc w:val="left"/>
      <w:pPr>
        <w:ind w:left="3763" w:hanging="360"/>
      </w:pPr>
      <w:rPr>
        <w:rFonts w:ascii="Symbol" w:hAnsi="Symbol" w:hint="default"/>
      </w:rPr>
    </w:lvl>
    <w:lvl w:ilvl="4" w:tplc="04190003" w:tentative="1">
      <w:start w:val="1"/>
      <w:numFmt w:val="bullet"/>
      <w:lvlText w:val="o"/>
      <w:lvlJc w:val="left"/>
      <w:pPr>
        <w:ind w:left="4483" w:hanging="360"/>
      </w:pPr>
      <w:rPr>
        <w:rFonts w:ascii="Courier New" w:hAnsi="Courier New" w:cs="Courier New" w:hint="default"/>
      </w:rPr>
    </w:lvl>
    <w:lvl w:ilvl="5" w:tplc="04190005" w:tentative="1">
      <w:start w:val="1"/>
      <w:numFmt w:val="bullet"/>
      <w:lvlText w:val=""/>
      <w:lvlJc w:val="left"/>
      <w:pPr>
        <w:ind w:left="5203" w:hanging="360"/>
      </w:pPr>
      <w:rPr>
        <w:rFonts w:ascii="Wingdings" w:hAnsi="Wingdings" w:hint="default"/>
      </w:rPr>
    </w:lvl>
    <w:lvl w:ilvl="6" w:tplc="04190001" w:tentative="1">
      <w:start w:val="1"/>
      <w:numFmt w:val="bullet"/>
      <w:lvlText w:val=""/>
      <w:lvlJc w:val="left"/>
      <w:pPr>
        <w:ind w:left="5923" w:hanging="360"/>
      </w:pPr>
      <w:rPr>
        <w:rFonts w:ascii="Symbol" w:hAnsi="Symbol" w:hint="default"/>
      </w:rPr>
    </w:lvl>
    <w:lvl w:ilvl="7" w:tplc="04190003" w:tentative="1">
      <w:start w:val="1"/>
      <w:numFmt w:val="bullet"/>
      <w:lvlText w:val="o"/>
      <w:lvlJc w:val="left"/>
      <w:pPr>
        <w:ind w:left="6643" w:hanging="360"/>
      </w:pPr>
      <w:rPr>
        <w:rFonts w:ascii="Courier New" w:hAnsi="Courier New" w:cs="Courier New" w:hint="default"/>
      </w:rPr>
    </w:lvl>
    <w:lvl w:ilvl="8" w:tplc="04190005" w:tentative="1">
      <w:start w:val="1"/>
      <w:numFmt w:val="bullet"/>
      <w:lvlText w:val=""/>
      <w:lvlJc w:val="left"/>
      <w:pPr>
        <w:ind w:left="7363" w:hanging="360"/>
      </w:pPr>
      <w:rPr>
        <w:rFonts w:ascii="Wingdings" w:hAnsi="Wingdings" w:hint="default"/>
      </w:rPr>
    </w:lvl>
  </w:abstractNum>
  <w:abstractNum w:abstractNumId="1">
    <w:nsid w:val="2F4D6961"/>
    <w:multiLevelType w:val="hybridMultilevel"/>
    <w:tmpl w:val="CAA226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0C31"/>
    <w:rsid w:val="00017104"/>
    <w:rsid w:val="00070571"/>
    <w:rsid w:val="000750E9"/>
    <w:rsid w:val="0007704E"/>
    <w:rsid w:val="000B2B52"/>
    <w:rsid w:val="000C31C4"/>
    <w:rsid w:val="0017239B"/>
    <w:rsid w:val="001A06AE"/>
    <w:rsid w:val="001D46DB"/>
    <w:rsid w:val="001E15BD"/>
    <w:rsid w:val="00204400"/>
    <w:rsid w:val="00236BFE"/>
    <w:rsid w:val="00244402"/>
    <w:rsid w:val="00271F95"/>
    <w:rsid w:val="002E1BE6"/>
    <w:rsid w:val="002F46B6"/>
    <w:rsid w:val="00301E17"/>
    <w:rsid w:val="00340BCB"/>
    <w:rsid w:val="003F7034"/>
    <w:rsid w:val="004063F4"/>
    <w:rsid w:val="00444C6B"/>
    <w:rsid w:val="004D257F"/>
    <w:rsid w:val="004D66DE"/>
    <w:rsid w:val="004F4A11"/>
    <w:rsid w:val="00501F37"/>
    <w:rsid w:val="005166E8"/>
    <w:rsid w:val="00613F0A"/>
    <w:rsid w:val="006E34B9"/>
    <w:rsid w:val="00721E63"/>
    <w:rsid w:val="0079000B"/>
    <w:rsid w:val="00801373"/>
    <w:rsid w:val="0080620A"/>
    <w:rsid w:val="0090027E"/>
    <w:rsid w:val="00A06CC9"/>
    <w:rsid w:val="00A13F9B"/>
    <w:rsid w:val="00A82FDF"/>
    <w:rsid w:val="00B51E3E"/>
    <w:rsid w:val="00BE25AB"/>
    <w:rsid w:val="00C05A88"/>
    <w:rsid w:val="00C55FA2"/>
    <w:rsid w:val="00CD5F75"/>
    <w:rsid w:val="00D12CDB"/>
    <w:rsid w:val="00DD0C31"/>
    <w:rsid w:val="00E36F82"/>
    <w:rsid w:val="00F1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31"/>
    <w:pPr>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текст,Основной текст Знак2,Основной текст Знак1 Знак,Основной текст Знак Знак Знак, Знак Знак Знак Знак, Знак Знак4 Знак,Основной текст Знак Знак1, Знак Знак,Знак Знак Знак Знак,Знак Знак4 Знак,Знак Знак"/>
    <w:basedOn w:val="a"/>
    <w:link w:val="a4"/>
    <w:uiPriority w:val="99"/>
    <w:rsid w:val="00DD0C31"/>
    <w:pPr>
      <w:spacing w:after="240" w:line="240" w:lineRule="atLeast"/>
    </w:pPr>
    <w:rPr>
      <w:rFonts w:ascii="Garamond" w:hAnsi="Garamond"/>
      <w:spacing w:val="-5"/>
      <w:lang w:eastAsia="en-US"/>
    </w:rPr>
  </w:style>
  <w:style w:type="character" w:customStyle="1" w:styleId="a4">
    <w:name w:val="Основной текст Знак"/>
    <w:aliases w:val="Основной Знак,текст Знак,Основной текст Знак2 Знак,Основной текст Знак1 Знак Знак,Основной текст Знак Знак Знак Знак, Знак Знак Знак Знак Знак, Знак Знак4 Знак Знак,Основной текст Знак Знак1 Знак, Знак Знак Знак,Знак Знак4 Знак Знак"/>
    <w:basedOn w:val="a0"/>
    <w:link w:val="a3"/>
    <w:uiPriority w:val="99"/>
    <w:rsid w:val="00DD0C31"/>
    <w:rPr>
      <w:rFonts w:ascii="Garamond" w:eastAsia="Times New Roman" w:hAnsi="Garamond" w:cs="Times New Roman"/>
      <w:spacing w:val="-5"/>
      <w:sz w:val="24"/>
      <w:szCs w:val="20"/>
    </w:rPr>
  </w:style>
  <w:style w:type="paragraph" w:customStyle="1" w:styleId="FORMATTEXT">
    <w:name w:val=".FORMATTEXT"/>
    <w:uiPriority w:val="99"/>
    <w:rsid w:val="00DD0C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F4A11"/>
    <w:rPr>
      <w:rFonts w:ascii="Tahoma" w:hAnsi="Tahoma" w:cs="Tahoma"/>
      <w:sz w:val="16"/>
      <w:szCs w:val="16"/>
    </w:rPr>
  </w:style>
  <w:style w:type="character" w:customStyle="1" w:styleId="a6">
    <w:name w:val="Текст выноски Знак"/>
    <w:basedOn w:val="a0"/>
    <w:link w:val="a5"/>
    <w:uiPriority w:val="99"/>
    <w:semiHidden/>
    <w:rsid w:val="004F4A11"/>
    <w:rPr>
      <w:rFonts w:ascii="Tahoma" w:eastAsia="Times New Roman" w:hAnsi="Tahoma" w:cs="Tahoma"/>
      <w:sz w:val="16"/>
      <w:szCs w:val="16"/>
      <w:lang w:eastAsia="ru-RU"/>
    </w:rPr>
  </w:style>
  <w:style w:type="paragraph" w:styleId="a7">
    <w:name w:val="header"/>
    <w:basedOn w:val="a"/>
    <w:link w:val="a8"/>
    <w:uiPriority w:val="99"/>
    <w:semiHidden/>
    <w:unhideWhenUsed/>
    <w:rsid w:val="00801373"/>
    <w:pPr>
      <w:tabs>
        <w:tab w:val="center" w:pos="4677"/>
        <w:tab w:val="right" w:pos="9355"/>
      </w:tabs>
    </w:pPr>
  </w:style>
  <w:style w:type="character" w:customStyle="1" w:styleId="a8">
    <w:name w:val="Верхний колонтитул Знак"/>
    <w:basedOn w:val="a0"/>
    <w:link w:val="a7"/>
    <w:uiPriority w:val="99"/>
    <w:semiHidden/>
    <w:rsid w:val="00801373"/>
    <w:rPr>
      <w:rFonts w:ascii="Times New Roman" w:eastAsia="Times New Roman" w:hAnsi="Times New Roman" w:cs="Times New Roman"/>
      <w:sz w:val="24"/>
      <w:szCs w:val="20"/>
      <w:lang w:eastAsia="ru-RU"/>
    </w:rPr>
  </w:style>
  <w:style w:type="paragraph" w:styleId="a9">
    <w:name w:val="footer"/>
    <w:basedOn w:val="a"/>
    <w:link w:val="aa"/>
    <w:uiPriority w:val="99"/>
    <w:semiHidden/>
    <w:unhideWhenUsed/>
    <w:rsid w:val="00801373"/>
    <w:pPr>
      <w:tabs>
        <w:tab w:val="center" w:pos="4677"/>
        <w:tab w:val="right" w:pos="9355"/>
      </w:tabs>
    </w:pPr>
  </w:style>
  <w:style w:type="character" w:customStyle="1" w:styleId="aa">
    <w:name w:val="Нижний колонтитул Знак"/>
    <w:basedOn w:val="a0"/>
    <w:link w:val="a9"/>
    <w:uiPriority w:val="99"/>
    <w:semiHidden/>
    <w:rsid w:val="00801373"/>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35529" TargetMode="External"/><Relationship Id="rId13" Type="http://schemas.openxmlformats.org/officeDocument/2006/relationships/hyperlink" Target="http://docs.cntd.ru/document/1200035529" TargetMode="External"/><Relationship Id="rId18" Type="http://schemas.openxmlformats.org/officeDocument/2006/relationships/hyperlink" Target="http://docs.cntd.ru/document/9017144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1200035529" TargetMode="External"/><Relationship Id="rId17" Type="http://schemas.openxmlformats.org/officeDocument/2006/relationships/hyperlink" Target="http://docs.cntd.ru/document/1200036328" TargetMode="External"/><Relationship Id="rId2" Type="http://schemas.openxmlformats.org/officeDocument/2006/relationships/styles" Target="styles.xml"/><Relationship Id="rId16" Type="http://schemas.openxmlformats.org/officeDocument/2006/relationships/hyperlink" Target="http://docs.cntd.ru/document/120003632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1200035529" TargetMode="External"/><Relationship Id="rId5" Type="http://schemas.openxmlformats.org/officeDocument/2006/relationships/webSettings" Target="webSettings.xml"/><Relationship Id="rId15" Type="http://schemas.openxmlformats.org/officeDocument/2006/relationships/hyperlink" Target="http://docs.cntd.ru/document/1200036887" TargetMode="External"/><Relationship Id="rId10" Type="http://schemas.openxmlformats.org/officeDocument/2006/relationships/hyperlink" Target="http://docs.cntd.ru/document/12000355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035529" TargetMode="External"/><Relationship Id="rId14" Type="http://schemas.openxmlformats.org/officeDocument/2006/relationships/hyperlink" Target="http://docs.cntd.ru/document/1200036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pakulova</dc:creator>
  <cp:lastModifiedBy>Кондратьев И.Ю.</cp:lastModifiedBy>
  <cp:revision>2</cp:revision>
  <cp:lastPrinted>2017-01-31T10:10:00Z</cp:lastPrinted>
  <dcterms:created xsi:type="dcterms:W3CDTF">2018-04-03T07:12:00Z</dcterms:created>
  <dcterms:modified xsi:type="dcterms:W3CDTF">2018-04-03T07:12:00Z</dcterms:modified>
</cp:coreProperties>
</file>