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24904679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47ED6D7D" w14:textId="1AD6821E" w:rsidR="00B06710" w:rsidRPr="00D24D05" w:rsidRDefault="00244222" w:rsidP="005406F2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1A994D8A" w14:textId="77777777" w:rsidR="0043569D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</w:t>
      </w:r>
    </w:p>
    <w:p w14:paraId="0C24F66F" w14:textId="1BFB813A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242BA7">
        <w:trPr>
          <w:trHeight w:hRule="exact" w:val="6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1B93CAC0" w:rsidR="00D06A6A" w:rsidRPr="00313D5A" w:rsidRDefault="006F4C6A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F4C6A">
              <w:rPr>
                <w:rFonts w:ascii="Tahoma" w:hAnsi="Tahoma" w:cs="Tahoma"/>
                <w:sz w:val="20"/>
                <w:szCs w:val="20"/>
              </w:rPr>
              <w:t>Ремонт прецизионного кондиционера в серверной СТК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2866CED3" w:rsidR="006D277A" w:rsidRPr="005121F9" w:rsidRDefault="006F4C6A" w:rsidP="006F4C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до 30.01</w:t>
            </w:r>
            <w:r w:rsidRPr="001713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20</w:t>
            </w:r>
            <w:r w:rsidRPr="001713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</w:t>
            </w:r>
            <w:r w:rsidRPr="007518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срок ориентировочны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й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, корректируется по согласованию с Заказчиком)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FDA" w14:textId="77777777" w:rsidR="006F4C6A" w:rsidRPr="002247A4" w:rsidRDefault="006F4C6A" w:rsidP="006F4C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6E98F5EE" w14:textId="77777777" w:rsidR="006F4C6A" w:rsidRPr="002247A4" w:rsidRDefault="006F4C6A" w:rsidP="006F4C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7D1F8F7D" w14:textId="77777777" w:rsidR="006F4C6A" w:rsidRPr="002247A4" w:rsidRDefault="006F4C6A" w:rsidP="006F4C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3ED09B22" w14:textId="77777777" w:rsidR="006F4C6A" w:rsidRPr="002247A4" w:rsidRDefault="006F4C6A" w:rsidP="006F4C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63DC3068" w14:textId="77777777" w:rsidR="006F4C6A" w:rsidRPr="002247A4" w:rsidRDefault="006F4C6A" w:rsidP="006F4C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только один из вариантов расчетов;</w:t>
            </w:r>
          </w:p>
          <w:p w14:paraId="1139E372" w14:textId="77777777" w:rsidR="006F4C6A" w:rsidRPr="002247A4" w:rsidRDefault="006F4C6A" w:rsidP="006F4C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74D741D6" w14:textId="77777777" w:rsidR="006F4C6A" w:rsidRPr="002247A4" w:rsidRDefault="006F4C6A" w:rsidP="006F4C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01059C24" w:rsidR="00525404" w:rsidRPr="00313D5A" w:rsidRDefault="006F4C6A" w:rsidP="006F4C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494540B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6F4C6A">
              <w:rPr>
                <w:rFonts w:ascii="Tahoma" w:hAnsi="Tahoma" w:cs="Tahoma"/>
                <w:sz w:val="20"/>
                <w:szCs w:val="20"/>
                <w:u w:val="single"/>
              </w:rPr>
              <w:t>26.11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072B4F7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6F4C6A">
              <w:rPr>
                <w:rFonts w:ascii="Tahoma" w:hAnsi="Tahoma" w:cs="Tahoma"/>
                <w:sz w:val="20"/>
                <w:szCs w:val="20"/>
                <w:u w:val="single"/>
              </w:rPr>
              <w:t>19.12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828D55B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6F4C6A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0C7FD4C" w:rsidR="00525404" w:rsidRPr="00B41680" w:rsidRDefault="006069B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12E705DB" w:rsidR="00525404" w:rsidRPr="00313D5A" w:rsidRDefault="006F4C6A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 xml:space="preserve">Условия договора, заключаемого по результатам закупочной процедуры, в том числе, ответственность за нарушение обязательств, </w:t>
            </w:r>
            <w:r w:rsidR="000D077E" w:rsidRPr="00BB0253">
              <w:rPr>
                <w:rFonts w:ascii="Tahoma" w:hAnsi="Tahoma" w:cs="Tahoma"/>
                <w:sz w:val="20"/>
              </w:rPr>
              <w:lastRenderedPageBreak/>
              <w:t>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5C865328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F4C6A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5843F5A5" w:rsidR="008471E4" w:rsidRPr="00313D5A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5121F9">
              <w:rPr>
                <w:rFonts w:ascii="Tahoma" w:hAnsi="Tahoma" w:cs="Tahoma"/>
                <w:sz w:val="20"/>
                <w:szCs w:val="20"/>
              </w:rPr>
              <w:t xml:space="preserve">наличии </w:t>
            </w:r>
            <w:r w:rsidR="006F4C6A">
              <w:rPr>
                <w:rFonts w:ascii="Tahoma" w:hAnsi="Tahoma" w:cs="Tahoma"/>
                <w:sz w:val="20"/>
                <w:szCs w:val="20"/>
              </w:rPr>
              <w:t>о</w:t>
            </w:r>
            <w:r w:rsidR="006F4C6A" w:rsidRPr="006F4C6A">
              <w:rPr>
                <w:rFonts w:ascii="Tahoma" w:hAnsi="Tahoma" w:cs="Tahoma"/>
                <w:sz w:val="20"/>
                <w:szCs w:val="20"/>
              </w:rPr>
              <w:t>пыт</w:t>
            </w:r>
            <w:r w:rsidR="006F4C6A">
              <w:rPr>
                <w:rFonts w:ascii="Tahoma" w:hAnsi="Tahoma" w:cs="Tahoma"/>
                <w:sz w:val="20"/>
                <w:szCs w:val="20"/>
              </w:rPr>
              <w:t>а</w:t>
            </w:r>
            <w:r w:rsidR="006F4C6A" w:rsidRPr="006F4C6A">
              <w:rPr>
                <w:rFonts w:ascii="Tahoma" w:hAnsi="Tahoma" w:cs="Tahoma"/>
                <w:sz w:val="20"/>
                <w:szCs w:val="20"/>
              </w:rPr>
              <w:t xml:space="preserve"> проведения работ по ремонту систем кондиционирования</w:t>
            </w:r>
            <w:r w:rsidR="006F4C6A">
              <w:rPr>
                <w:rFonts w:ascii="Tahoma" w:hAnsi="Tahoma" w:cs="Tahoma"/>
                <w:sz w:val="20"/>
                <w:szCs w:val="20"/>
              </w:rPr>
              <w:t xml:space="preserve"> (копия СРО)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7D7C31C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F4C6A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76191B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F4C6A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78E5A65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F4C6A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47B4493D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F4C6A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681949E0" w14:textId="77777777" w:rsidR="004D1530" w:rsidRPr="00D24D05" w:rsidRDefault="00B703D2" w:rsidP="004D1530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4D1530">
        <w:rPr>
          <w:rFonts w:ascii="Tahoma" w:hAnsi="Tahoma" w:cs="Tahoma"/>
          <w:sz w:val="20"/>
          <w:szCs w:val="20"/>
        </w:rPr>
        <w:t>Кондратьева Игоря Юрьевича</w:t>
      </w:r>
      <w:r w:rsidR="004D1530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4D1530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energo</w:t>
        </w:r>
        <w:r w:rsidR="004D1530" w:rsidRPr="00085BEB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4D1530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4D1530" w:rsidRPr="00085BEB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4D1530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4D1530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4D1530" w:rsidRPr="00085BEB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4D1530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4D1530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4D1530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4D1530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4D1530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4D1530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5C6C7D8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</w:t>
      </w:r>
      <w:r w:rsidR="006F4C6A">
        <w:rPr>
          <w:rFonts w:ascii="Tahoma" w:hAnsi="Tahoma" w:cs="Tahoma"/>
          <w:sz w:val="20"/>
          <w:szCs w:val="20"/>
        </w:rPr>
        <w:t>Ильичева Валерия Викторовича</w:t>
      </w:r>
      <w:r w:rsidRPr="00E426E4">
        <w:rPr>
          <w:rFonts w:ascii="Tahoma" w:hAnsi="Tahoma" w:cs="Tahoma"/>
          <w:sz w:val="20"/>
          <w:szCs w:val="20"/>
        </w:rPr>
        <w:t>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5D605372" w14:textId="4647AE14" w:rsidR="004F40F9" w:rsidRPr="004D1530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6D079DF0" w:rsidR="00525404" w:rsidRPr="00E426E4" w:rsidRDefault="00C558FF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</w:t>
      </w:r>
      <w:r w:rsidR="00525404" w:rsidRPr="00E426E4">
        <w:rPr>
          <w:rFonts w:ascii="Tahoma" w:hAnsi="Tahoma" w:cs="Tahoma"/>
          <w:sz w:val="20"/>
          <w:szCs w:val="20"/>
        </w:rPr>
        <w:t xml:space="preserve">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4D22D1F9" w:rsidR="006C007D" w:rsidRPr="00D24D05" w:rsidRDefault="00C96F2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622916A8" w:rsidR="00C96F24" w:rsidRPr="00D24D05" w:rsidRDefault="006069B8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8</w:t>
            </w:r>
            <w:r w:rsidR="00C96F24"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CF19BC7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431E32AD" w:rsidR="00C96F24" w:rsidRPr="00D24D05" w:rsidRDefault="006F4C6A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="00C96F24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199E82AB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047FCA4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F4C6A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0107515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F4C6A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56E6D56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F4C6A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371D63C3" w:rsidR="006C007D" w:rsidRPr="00D24D05" w:rsidRDefault="006F4C6A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4AA1791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F4C6A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6E628F7E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F4C6A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размещенными в информационно-телекоммуникационной сети «Интернет» по адресу: </w:t>
      </w:r>
      <w:hyperlink r:id="rId14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478A561" w14:textId="77777777" w:rsidR="0043569D" w:rsidRDefault="0043569D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</w:p>
    <w:p w14:paraId="34E5C6B4" w14:textId="40434E69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46C94DDD" w14:textId="2905C8F5" w:rsidR="004F40F9" w:rsidRPr="00C96F24" w:rsidRDefault="004F40F9" w:rsidP="00AC6E55">
      <w:pPr>
        <w:pStyle w:val="a3"/>
        <w:numPr>
          <w:ilvl w:val="0"/>
          <w:numId w:val="3"/>
        </w:numPr>
        <w:tabs>
          <w:tab w:val="left" w:pos="10206"/>
        </w:tabs>
        <w:ind w:firstLine="567"/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96F24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188C4369" w14:textId="77777777" w:rsidR="0043569D" w:rsidRDefault="0043569D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Default="004F40F9" w:rsidP="004F40F9">
      <w:pPr>
        <w:rPr>
          <w:rFonts w:ascii="Tahoma" w:hAnsi="Tahoma" w:cs="Tahoma"/>
          <w:b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5DE794D6" w14:textId="77777777" w:rsidR="0043569D" w:rsidRDefault="0043569D" w:rsidP="004F40F9">
      <w:pPr>
        <w:rPr>
          <w:rFonts w:ascii="Tahoma" w:hAnsi="Tahoma" w:cs="Tahoma"/>
          <w:b/>
          <w:sz w:val="20"/>
        </w:rPr>
      </w:pPr>
    </w:p>
    <w:p w14:paraId="45DAC860" w14:textId="77777777" w:rsidR="0043569D" w:rsidRDefault="0043569D" w:rsidP="004F40F9">
      <w:pPr>
        <w:rPr>
          <w:rFonts w:ascii="Tahoma" w:hAnsi="Tahoma" w:cs="Tahoma"/>
          <w:b/>
          <w:sz w:val="20"/>
        </w:rPr>
      </w:pPr>
    </w:p>
    <w:p w14:paraId="33FD3CEA" w14:textId="77777777" w:rsidR="0043569D" w:rsidRDefault="0043569D" w:rsidP="004F40F9">
      <w:pPr>
        <w:rPr>
          <w:rFonts w:ascii="Tahoma" w:hAnsi="Tahoma" w:cs="Tahoma"/>
          <w:b/>
          <w:sz w:val="20"/>
        </w:rPr>
      </w:pPr>
    </w:p>
    <w:p w14:paraId="4A1DCC24" w14:textId="77777777" w:rsidR="0043569D" w:rsidRDefault="0043569D" w:rsidP="004F40F9">
      <w:pPr>
        <w:rPr>
          <w:rFonts w:ascii="Tahoma" w:hAnsi="Tahoma" w:cs="Tahoma"/>
          <w:b/>
          <w:sz w:val="20"/>
        </w:rPr>
      </w:pPr>
    </w:p>
    <w:p w14:paraId="0E19579C" w14:textId="77777777" w:rsidR="0043569D" w:rsidRDefault="0043569D" w:rsidP="004F40F9">
      <w:pPr>
        <w:rPr>
          <w:rFonts w:ascii="Tahoma" w:hAnsi="Tahoma" w:cs="Tahoma"/>
          <w:b/>
          <w:sz w:val="20"/>
        </w:rPr>
      </w:pP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5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33A5A180" w14:textId="77777777" w:rsidR="0043569D" w:rsidRPr="004F40F9" w:rsidRDefault="0043569D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Default="004F40F9" w:rsidP="004F40F9">
      <w:pPr>
        <w:rPr>
          <w:rFonts w:ascii="Tahoma" w:hAnsi="Tahoma" w:cs="Tahoma"/>
          <w:b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1BFA3EF2" w14:textId="77777777" w:rsidR="00C558FF" w:rsidRDefault="00C558FF" w:rsidP="004F40F9">
      <w:pPr>
        <w:rPr>
          <w:rFonts w:ascii="Tahoma" w:hAnsi="Tahoma" w:cs="Tahoma"/>
          <w:b/>
          <w:sz w:val="20"/>
        </w:rPr>
      </w:pPr>
    </w:p>
    <w:p w14:paraId="3FBCCBCD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26CA5AD6" w14:textId="77777777" w:rsidR="0043569D" w:rsidRDefault="0043569D" w:rsidP="00C558FF">
      <w:pPr>
        <w:rPr>
          <w:rFonts w:ascii="Tahoma" w:hAnsi="Tahoma" w:cs="Tahoma"/>
          <w:b/>
          <w:sz w:val="20"/>
          <w:szCs w:val="20"/>
        </w:rPr>
      </w:pPr>
    </w:p>
    <w:p w14:paraId="22BAC50C" w14:textId="77777777" w:rsidR="0043569D" w:rsidRDefault="0043569D" w:rsidP="00C558FF">
      <w:pPr>
        <w:rPr>
          <w:rFonts w:ascii="Tahoma" w:hAnsi="Tahoma" w:cs="Tahoma"/>
          <w:b/>
          <w:sz w:val="20"/>
          <w:szCs w:val="20"/>
        </w:rPr>
      </w:pPr>
    </w:p>
    <w:p w14:paraId="4767500A" w14:textId="77777777" w:rsidR="0043569D" w:rsidRDefault="0043569D" w:rsidP="00C558FF">
      <w:pPr>
        <w:rPr>
          <w:rFonts w:ascii="Tahoma" w:hAnsi="Tahoma" w:cs="Tahoma"/>
          <w:b/>
          <w:sz w:val="20"/>
          <w:szCs w:val="20"/>
        </w:rPr>
      </w:pPr>
    </w:p>
    <w:p w14:paraId="635084D6" w14:textId="657F4A32" w:rsidR="00C558FF" w:rsidRPr="0043569D" w:rsidRDefault="00BF77B7" w:rsidP="00C558F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</w:t>
      </w:r>
      <w:proofErr w:type="spellStart"/>
      <w:r w:rsidR="006F4C6A">
        <w:rPr>
          <w:rFonts w:ascii="Tahoma" w:hAnsi="Tahoma" w:cs="Tahoma"/>
          <w:b/>
          <w:sz w:val="20"/>
          <w:szCs w:val="20"/>
        </w:rPr>
        <w:t>В.В.Ильичев</w:t>
      </w:r>
      <w:proofErr w:type="spellEnd"/>
    </w:p>
    <w:p w14:paraId="6755E654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6176F7E2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3A2952FE" w14:textId="5627CC6F" w:rsidR="00C558FF" w:rsidRPr="004F40F9" w:rsidRDefault="00C558FF" w:rsidP="004F40F9">
      <w:pPr>
        <w:rPr>
          <w:rFonts w:ascii="Tahoma" w:hAnsi="Tahoma" w:cs="Tahoma"/>
          <w:bCs/>
          <w:sz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C558FF" w:rsidRPr="004F40F9" w:rsidSect="00D24D05">
      <w:headerReference w:type="default" r:id="rId16"/>
      <w:footerReference w:type="default" r:id="rId17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2BA7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009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F04F7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3569D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1530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21F9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406F2"/>
    <w:rsid w:val="005462E7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69B8"/>
    <w:rsid w:val="00615FE5"/>
    <w:rsid w:val="00631FBF"/>
    <w:rsid w:val="0063353B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895"/>
    <w:rsid w:val="006E0A39"/>
    <w:rsid w:val="006E2F8A"/>
    <w:rsid w:val="006E3CF1"/>
    <w:rsid w:val="006E71E4"/>
    <w:rsid w:val="006F4C6A"/>
    <w:rsid w:val="00706066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A71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B0134"/>
    <w:rsid w:val="008B566A"/>
    <w:rsid w:val="008B5E76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17C22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BF77B7"/>
    <w:rsid w:val="00C005DF"/>
    <w:rsid w:val="00C015D1"/>
    <w:rsid w:val="00C03E02"/>
    <w:rsid w:val="00C101F2"/>
    <w:rsid w:val="00C468DD"/>
    <w:rsid w:val="00C4727B"/>
    <w:rsid w:val="00C558FF"/>
    <w:rsid w:val="00C633B4"/>
    <w:rsid w:val="00C677B4"/>
    <w:rsid w:val="00C73479"/>
    <w:rsid w:val="00C73F29"/>
    <w:rsid w:val="00C771AB"/>
    <w:rsid w:val="00C81253"/>
    <w:rsid w:val="00C92579"/>
    <w:rsid w:val="00C93C66"/>
    <w:rsid w:val="00C96F24"/>
    <w:rsid w:val="00C97479"/>
    <w:rsid w:val="00C97AE4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AD3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352CB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5B5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nickel.ru/suppliers/contractual-documentation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8</cp:revision>
  <cp:lastPrinted>2024-02-26T09:46:00Z</cp:lastPrinted>
  <dcterms:created xsi:type="dcterms:W3CDTF">2025-04-25T05:11:00Z</dcterms:created>
  <dcterms:modified xsi:type="dcterms:W3CDTF">2025-11-17T10:12:00Z</dcterms:modified>
</cp:coreProperties>
</file>